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4" w:rsidRPr="00F420E4" w:rsidRDefault="00BD60A4" w:rsidP="00F420E4">
      <w:pPr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CZ</w:t>
      </w:r>
    </w:p>
    <w:p w:rsidR="00F420E4" w:rsidRP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Default="00F420E4" w:rsidP="00F420E4">
      <w:pPr>
        <w:rPr>
          <w:rFonts w:ascii="Calibri" w:hAnsi="Calibri" w:cs="Calibri"/>
          <w:b/>
          <w:sz w:val="36"/>
        </w:rPr>
      </w:pPr>
    </w:p>
    <w:p w:rsidR="00F420E4" w:rsidRPr="00F420E4" w:rsidRDefault="00F420E4" w:rsidP="00F420E4">
      <w:pPr>
        <w:jc w:val="center"/>
        <w:rPr>
          <w:rFonts w:ascii="Calibri" w:hAnsi="Calibri" w:cs="Calibri"/>
          <w:b/>
          <w:sz w:val="52"/>
        </w:rPr>
      </w:pPr>
    </w:p>
    <w:p w:rsidR="00F420E4" w:rsidRPr="00F420E4" w:rsidRDefault="00BD60A4" w:rsidP="00F420E4">
      <w:pPr>
        <w:rPr>
          <w:rFonts w:ascii="Calibri" w:hAnsi="Calibri" w:cs="Calibri"/>
          <w:b/>
          <w:sz w:val="52"/>
        </w:rPr>
      </w:pPr>
      <w:r w:rsidRPr="00BD60A4">
        <w:rPr>
          <w:rFonts w:ascii="Calibri" w:hAnsi="Calibri" w:cs="Calibri"/>
          <w:b/>
          <w:sz w:val="52"/>
        </w:rPr>
        <w:t>Vytváření standardů pro orgány pro rovné zacházení</w:t>
      </w:r>
    </w:p>
    <w:sdt>
      <w:sdtPr>
        <w:rPr>
          <w:rFonts w:ascii="Calibri" w:hAnsi="Calibri" w:cs="Calibri"/>
          <w:b/>
          <w:sz w:val="36"/>
        </w:rPr>
        <w:id w:val="-1957398533"/>
        <w:docPartObj>
          <w:docPartGallery w:val="Cover Pages"/>
          <w:docPartUnique/>
        </w:docPartObj>
      </w:sdtPr>
      <w:sdtEndPr/>
      <w:sdtContent>
        <w:p w:rsidR="00B57EA6" w:rsidRDefault="00B57EA6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F420E4" w:rsidP="00F420E4">
          <w:pPr>
            <w:rPr>
              <w:rFonts w:ascii="Calibri" w:hAnsi="Calibri" w:cs="Calibri"/>
              <w:b/>
              <w:sz w:val="36"/>
            </w:rPr>
          </w:pPr>
        </w:p>
        <w:p w:rsidR="00F420E4" w:rsidRDefault="00BD60A4" w:rsidP="00F420E4">
          <w:pPr>
            <w:rPr>
              <w:rFonts w:ascii="Calibri" w:hAnsi="Calibri" w:cs="Calibri"/>
              <w:b/>
              <w:sz w:val="36"/>
            </w:rPr>
          </w:pPr>
          <w:r w:rsidRPr="00BD60A4">
            <w:rPr>
              <w:rFonts w:ascii="Calibri" w:hAnsi="Calibri" w:cs="Calibri"/>
              <w:b/>
              <w:sz w:val="36"/>
            </w:rPr>
            <w:t>Pracovní dokument sítě Equinet</w:t>
          </w:r>
        </w:p>
        <w:p w:rsidR="00F420E4" w:rsidRDefault="00F420E4">
          <w:pPr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br w:type="page"/>
          </w:r>
        </w:p>
        <w:p w:rsidR="00FC177C" w:rsidRPr="009A1B68" w:rsidRDefault="00470986" w:rsidP="00D240B2">
          <w:pPr>
            <w:jc w:val="right"/>
            <w:rPr>
              <w:rFonts w:ascii="Arial Rounded MT Bold" w:hAnsi="Arial Rounded MT Bold" w:cs="Calibri"/>
              <w:b/>
              <w:color w:val="002060"/>
              <w:sz w:val="72"/>
            </w:rPr>
          </w:pPr>
          <w:r w:rsidRPr="00470986">
            <w:rPr>
              <w:rFonts w:ascii="Arial Rounded MT Bold" w:hAnsi="Arial Rounded MT Bold" w:cs="Calibri"/>
              <w:b/>
              <w:color w:val="002060"/>
              <w:sz w:val="72"/>
            </w:rPr>
            <w:lastRenderedPageBreak/>
            <w:t>ÚVOD</w:t>
          </w:r>
          <w:r>
            <w:rPr>
              <w:rFonts w:ascii="Arial Rounded MT Bold" w:hAnsi="Arial Rounded MT Bold" w:cs="Calibri"/>
              <w:b/>
              <w:color w:val="002060"/>
              <w:sz w:val="72"/>
            </w:rPr>
            <w:t xml:space="preserve"> </w:t>
          </w:r>
        </w:p>
        <w:p w:rsidR="00F420E4" w:rsidRDefault="002C47B6" w:rsidP="00F420E4">
          <w:pPr>
            <w:rPr>
              <w:rFonts w:ascii="Calibri" w:hAnsi="Calibri" w:cs="Calibri"/>
              <w:b/>
              <w:sz w:val="36"/>
            </w:rPr>
          </w:pPr>
        </w:p>
      </w:sdtContent>
    </w:sdt>
    <w:p w:rsidR="004C142C" w:rsidRPr="00FC177C" w:rsidRDefault="00470986" w:rsidP="00FC177C">
      <w:pPr>
        <w:shd w:val="clear" w:color="auto" w:fill="0070C0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470986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EQUINET, EVROPSKÁ SÍŤ ORGÁNŮ PRO ROVNÉ ZACHÁZENÍ</w:t>
      </w:r>
    </w:p>
    <w:p w:rsidR="00F420E4" w:rsidRPr="00F420E4" w:rsidRDefault="00F420E4" w:rsidP="00F420E4"/>
    <w:p w:rsidR="00583F88" w:rsidRPr="009A1B68" w:rsidRDefault="00F75B4D" w:rsidP="009A1B68">
      <w:pPr>
        <w:spacing w:after="120"/>
        <w:jc w:val="both"/>
        <w:rPr>
          <w:rFonts w:asciiTheme="majorHAnsi" w:hAnsiTheme="majorHAnsi" w:cstheme="majorHAnsi"/>
        </w:rPr>
      </w:pPr>
      <w:r w:rsidRPr="00EE374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512CA" wp14:editId="6E3E9045">
                <wp:simplePos x="0" y="0"/>
                <wp:positionH relativeFrom="column">
                  <wp:posOffset>4446905</wp:posOffset>
                </wp:positionH>
                <wp:positionV relativeFrom="paragraph">
                  <wp:posOffset>1005205</wp:posOffset>
                </wp:positionV>
                <wp:extent cx="1344930" cy="9906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68" w:rsidRPr="00F75B4D" w:rsidRDefault="00470986" w:rsidP="009A1B6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470986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Více informací o Equinetu a orgánech pro rovné zacházení lze nalézt na našich internetových stránkách (equineteurope.org)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15pt;margin-top:79.15pt;width:105.9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3ILwIAAEAEAAAOAAAAZHJzL2Uyb0RvYy54bWysU9tu2zAMfR+wfxD0vti5tY0Rp+jSdRjQ&#10;XYB2H0DLcixMEj1Jid19fSk5TbPtbdiLIIrU4eEhub4ejGYH6bxCW/LpJOdMWoG1sruSf3+8e3fF&#10;mQ9ga9BoZcmfpOfXm7dv1n1XyBm2qGvpGIFYX/RdydsQuiLLvGilAT/BTlpyNugMBDLdLqsd9IRu&#10;dDbL84usR1d3DoX0nl5vRyffJPymkSJ8bRovA9MlJ24hnS6dVTyzzRqKnYOuVeJIA/6BhQFlKekJ&#10;6hYCsL1Tf0EZJRx6bMJEoMmwaZSQqQaqZpr/Uc1DC51MtZA4vjvJ5P8frPhy+OaYqks+zy85s2Co&#10;SY9yCOw9DmwW9ek7X1DYQ0eBYaBn6nOq1Xf3KH54ZnHbgt3JG+ewbyXUxG8af2ZnX0ccH0Gq/jPW&#10;lAb2ARPQ0DgTxSM5GKFTn55OvYlUREw5XyxWc3IJ8q1W+UWempdB8fK7cz58lGhYvJTcUe8TOhzu&#10;fYhsoHgJick8alXfKa2TEedNbrVjB6BJqXZjhXpviOr4tlrmp5RpPGN4Qv0NSVvWE8HlbJmSW4wp&#10;0pQZFWjUtTIlvyKoEQyKKNgHW6eQAEqPdyKr7VHBKNooXxiqgQKjrBXWT6Slw3GkaQXp0qL7xVlP&#10;41xy/3MPTnKmP1nqx2q6WMT5T8ZieTkjw517qnMPWEFQJQ+cjddtSDsTpbJ4Q31rVJL0lcmRK41p&#10;0uS4UnEPzu0U9br4m2cAAAD//wMAUEsDBBQABgAIAAAAIQAoWtkM4AAAAAsBAAAPAAAAZHJzL2Rv&#10;d25yZXYueG1sTI/LTsMwEEX3SPyDNUjsqJ2ERwlxqqg8xJYWia0TD3FEbKe224Z+PcMKdjO6R3fO&#10;VKvZjuyAIQ7eScgWAhi6zuvB9RLet89XS2AxKafV6B1K+MYIq/r8rFKl9kf3hodN6hmVuFgqCSal&#10;qeQ8dgatigs/oaPs0werEq2h5zqoI5XbkedC3HKrBkcXjJpwbbD72uythPC0ju1p15j8MX00L2rc&#10;7l6Hk5SXF3PzACzhnP5g+NUndajJqfV7pyMbJdwJURBKwc2SBiLuszwD1koosusCeF3x/z/UPwAA&#10;AP//AwBQSwECLQAUAAYACAAAACEAtoM4kv4AAADhAQAAEwAAAAAAAAAAAAAAAAAAAAAAW0NvbnRl&#10;bnRfVHlwZXNdLnhtbFBLAQItABQABgAIAAAAIQA4/SH/1gAAAJQBAAALAAAAAAAAAAAAAAAAAC8B&#10;AABfcmVscy8ucmVsc1BLAQItABQABgAIAAAAIQDQ1w3ILwIAAEAEAAAOAAAAAAAAAAAAAAAAAC4C&#10;AABkcnMvZTJvRG9jLnhtbFBLAQItABQABgAIAAAAIQAoWtkM4AAAAAsBAAAPAAAAAAAAAAAAAAAA&#10;AIkEAABkcnMvZG93bnJldi54bWxQSwUGAAAAAAQABADzAAAAlgUAAAAA&#10;" fillcolor="#f2f2f2 [3052]" stroked="f">
                <v:textbox>
                  <w:txbxContent>
                    <w:p w:rsidR="009A1B68" w:rsidRPr="00F75B4D" w:rsidRDefault="00470986" w:rsidP="009A1B6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470986">
                        <w:rPr>
                          <w:rFonts w:asciiTheme="majorHAnsi" w:hAnsiTheme="majorHAnsi" w:cstheme="majorHAnsi"/>
                          <w:sz w:val="18"/>
                        </w:rPr>
                        <w:t>Více informací o Equinetu a orgánech pro rovné zacházení lze nalézt na našich internetových stránkách (equineteurope.org)</w:t>
                      </w:r>
                    </w:p>
                  </w:txbxContent>
                </v:textbox>
              </v:shape>
            </w:pict>
          </mc:Fallback>
        </mc:AlternateContent>
      </w:r>
      <w:r w:rsidR="00470986" w:rsidRPr="00470986">
        <w:rPr>
          <w:rFonts w:asciiTheme="majorHAnsi" w:hAnsiTheme="majorHAnsi" w:cstheme="majorHAnsi"/>
        </w:rPr>
        <w:t xml:space="preserve">Equinet, evropskou síť orgánů pro rovné zacházení, tvoří 46 organizací z 34 evropských zemí, které jsou povolány k tomu, aby potlačovaly diskriminaci jako národní orgány pro rovné zacházení, a to na základě důvodů, k nimž patří věk, zdravotní postižení, pohlaví, rasa či etnický původ, náboženství či víra a sexuální orientace.  </w:t>
      </w:r>
      <w:r w:rsidR="00583F88" w:rsidRPr="009A1B68">
        <w:rPr>
          <w:rFonts w:asciiTheme="majorHAnsi" w:hAnsiTheme="majorHAnsi" w:cstheme="majorHAnsi"/>
        </w:rPr>
        <w:br/>
      </w:r>
      <w:r w:rsidR="00583F88" w:rsidRPr="009A1B68">
        <w:rPr>
          <w:rFonts w:asciiTheme="majorHAnsi" w:hAnsiTheme="majorHAnsi" w:cstheme="majorHAnsi"/>
        </w:rPr>
        <w:br/>
      </w:r>
      <w:r w:rsidR="00470986" w:rsidRPr="00470986">
        <w:rPr>
          <w:rFonts w:asciiTheme="majorHAnsi" w:hAnsiTheme="majorHAnsi" w:cstheme="majorHAnsi"/>
        </w:rPr>
        <w:t>Equinet prosazuje rovnost v Evropě tím, že podporuje práci národních orgánů pro rovné zacházení. Podporuje, aby orgány pro rovné zacházení byly nezávislé a účinné jako hodnotní přispěvatelé k rozvoji rovnosti ve společnosti.</w:t>
      </w:r>
    </w:p>
    <w:p w:rsidR="009A1B68" w:rsidRDefault="009A1B68" w:rsidP="00583F88">
      <w:pPr>
        <w:spacing w:after="120"/>
        <w:jc w:val="both"/>
        <w:rPr>
          <w:rFonts w:asciiTheme="majorHAnsi" w:hAnsiTheme="majorHAnsi" w:cstheme="majorHAnsi"/>
        </w:rPr>
      </w:pPr>
    </w:p>
    <w:p w:rsidR="00583F88" w:rsidRPr="00FC177C" w:rsidRDefault="00BD60A4" w:rsidP="00FC177C">
      <w:pPr>
        <w:shd w:val="clear" w:color="auto" w:fill="0070C0"/>
        <w:spacing w:after="120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BD60A4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ORGÁNY PRO ROVNÉ ZACHÁZENÍ</w:t>
      </w:r>
    </w:p>
    <w:p w:rsidR="00BD60A4" w:rsidRPr="004C142C" w:rsidRDefault="00BD60A4" w:rsidP="00BD60A4">
      <w:pPr>
        <w:spacing w:after="120"/>
        <w:jc w:val="both"/>
        <w:rPr>
          <w:rFonts w:asciiTheme="majorHAnsi" w:hAnsiTheme="majorHAnsi" w:cstheme="majorHAnsi"/>
        </w:rPr>
      </w:pPr>
      <w:r w:rsidRPr="004C142C">
        <w:rPr>
          <w:rFonts w:asciiTheme="majorHAnsi" w:hAnsiTheme="majorHAnsi" w:cstheme="majorHAnsi"/>
          <w:lang w:bidi="cs-CZ"/>
        </w:rPr>
        <w:t xml:space="preserve">Orgány pro rovné zacházení přispívají k dosažení důležitých a </w:t>
      </w:r>
      <w:bookmarkStart w:id="0" w:name="_GoBack"/>
      <w:bookmarkEnd w:id="0"/>
      <w:r w:rsidRPr="004C142C">
        <w:rPr>
          <w:rFonts w:asciiTheme="majorHAnsi" w:hAnsiTheme="majorHAnsi" w:cstheme="majorHAnsi"/>
          <w:lang w:bidi="cs-CZ"/>
        </w:rPr>
        <w:t xml:space="preserve">žádoucích změn na úrovni jednotlivců, institucí i celé společnosti. Mají potenciál: 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pomáhat diskriminovaným osobám a dosáhnout změny jejich situace,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přispívat ke směrodatnému výkladu právního rámce,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 xml:space="preserve">zlepšovat výkonnost organizací podporou plánovaného a systematického přístupu k rovnému zacházení a k zákazu diskriminace ve veřejných a soukromých institucích a v organizacích občanské společnosti a vytvořit směrodatné pokyny pro zavedení správné praxe v této oblasti, 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formou doporučení přispívat k vytváření zásad v oblasti veřejného pořádku a jeho výkonu a v oblasti problematiky rovného zacházení, diverzity a zákazu diskriminace při vytváření a výkonu veřejného pořádku,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poskytovat vedení a podporu celé řadě institucí prosazujících rovné zacházení a dále umožnit přístup ke spravedlnosti v případech diskriminace,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přispívat k veřejné diskusi, osvětě a formování společenského postoje v otázkách rovného zacházení, diverzity a zákazu diskriminace.</w:t>
      </w:r>
    </w:p>
    <w:p w:rsidR="006C159D" w:rsidRPr="00A66775" w:rsidRDefault="006C159D" w:rsidP="00A66775">
      <w:pPr>
        <w:spacing w:after="120"/>
        <w:jc w:val="both"/>
        <w:rPr>
          <w:rFonts w:asciiTheme="majorHAnsi" w:hAnsiTheme="majorHAnsi" w:cstheme="majorHAnsi"/>
        </w:rPr>
      </w:pPr>
    </w:p>
    <w:p w:rsidR="00BD60A4" w:rsidRPr="004C142C" w:rsidRDefault="00BD60A4" w:rsidP="007E0A62">
      <w:pPr>
        <w:shd w:val="clear" w:color="auto" w:fill="F2F2F2" w:themeFill="background1" w:themeFillShade="F2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 xml:space="preserve">Orgány pro rovné zacházení mají ve srovnání s jinými institucemi s působností v oblasti ochrany práv jedinečné postavení. Tento rozdíl se nejvýrazněji projevuje při prosazování rovného zacházení v praxi, </w:t>
      </w:r>
      <w:r w:rsidRPr="00BD60A4">
        <w:rPr>
          <w:rFonts w:asciiTheme="majorHAnsi" w:hAnsiTheme="majorHAnsi" w:cstheme="majorHAnsi"/>
        </w:rPr>
        <w:lastRenderedPageBreak/>
        <w:t>které jde nad rámec přiznaných práv, v zaměření na diskriminační znaky, které identifikují jednotlivé oprávněné osoby jako členy konkrétních skupin, a v přístupu k jejich mandátu, který kombinuje vymáhání práv i další rozvoj, a v poskytování pomoci jednotlivcům v případě diskriminace.</w:t>
      </w:r>
    </w:p>
    <w:p w:rsidR="00583F88" w:rsidRPr="00583F88" w:rsidRDefault="00583F88" w:rsidP="00583F88">
      <w:pPr>
        <w:spacing w:after="120"/>
        <w:jc w:val="both"/>
        <w:rPr>
          <w:rFonts w:asciiTheme="majorHAnsi" w:hAnsiTheme="majorHAnsi" w:cstheme="majorHAnsi"/>
        </w:rPr>
      </w:pPr>
    </w:p>
    <w:p w:rsidR="00583F88" w:rsidRDefault="00583F88" w:rsidP="00EC19D9">
      <w:pPr>
        <w:spacing w:after="120"/>
        <w:jc w:val="center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:rsidR="000406C7" w:rsidRPr="00ED7D7C" w:rsidRDefault="0076549C" w:rsidP="00ED7D7C">
      <w:pPr>
        <w:shd w:val="clear" w:color="auto" w:fill="0070C0"/>
        <w:spacing w:after="120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76549C">
        <w:rPr>
          <w:rFonts w:asciiTheme="majorHAnsi" w:hAnsiTheme="majorHAnsi" w:cstheme="majorHAnsi"/>
          <w:b/>
          <w:caps/>
          <w:color w:val="FFFFFF" w:themeColor="background1"/>
          <w:sz w:val="32"/>
          <w:szCs w:val="32"/>
        </w:rPr>
        <w:t>Proč pracovní dokument o standardech pro orgány pro rovné zacházení?</w:t>
      </w:r>
    </w:p>
    <w:p w:rsidR="00BD60A4" w:rsidRPr="004C142C" w:rsidRDefault="00BD60A4" w:rsidP="00BD60A4">
      <w:pPr>
        <w:spacing w:after="120"/>
        <w:jc w:val="both"/>
        <w:rPr>
          <w:rFonts w:asciiTheme="majorHAnsi" w:hAnsiTheme="majorHAnsi" w:cstheme="majorHAnsi"/>
        </w:rPr>
      </w:pPr>
      <w:r w:rsidRPr="004C142C">
        <w:rPr>
          <w:rFonts w:asciiTheme="majorHAnsi" w:hAnsiTheme="majorHAnsi" w:cstheme="majorHAnsi"/>
          <w:lang w:bidi="cs-CZ"/>
        </w:rPr>
        <w:t>Směrnice EU</w:t>
      </w:r>
      <w:r w:rsidRPr="004C142C">
        <w:rPr>
          <w:rStyle w:val="FootnoteReference"/>
          <w:rFonts w:asciiTheme="majorHAnsi" w:hAnsiTheme="majorHAnsi" w:cstheme="majorHAnsi"/>
          <w:lang w:bidi="cs-CZ"/>
        </w:rPr>
        <w:footnoteReference w:id="1"/>
      </w:r>
      <w:r w:rsidRPr="004C142C">
        <w:rPr>
          <w:rFonts w:asciiTheme="majorHAnsi" w:hAnsiTheme="majorHAnsi" w:cstheme="majorHAnsi"/>
          <w:lang w:bidi="cs-CZ"/>
        </w:rPr>
        <w:t xml:space="preserve"> stanoví povinnost všech členských států EU, kandidátských zemí a zemí EHP zřídit orgán pro rovné zacházení. Tyto směrnice však stanoví pouze minimální standardy v oblasti pravomocí a omezenou funkční nezávislost těchto orgánů a nezaručuje jim úplnou nezávislost, efektivitu, dostatečné pravomoci a dostatečné zdroje.</w:t>
      </w:r>
    </w:p>
    <w:p w:rsidR="00BD60A4" w:rsidRPr="004C142C" w:rsidRDefault="00BD60A4" w:rsidP="00BD60A4">
      <w:pPr>
        <w:spacing w:after="120"/>
        <w:jc w:val="both"/>
        <w:rPr>
          <w:rFonts w:asciiTheme="majorHAnsi" w:hAnsiTheme="majorHAnsi" w:cstheme="majorHAnsi"/>
        </w:rPr>
      </w:pPr>
      <w:r w:rsidRPr="004C142C">
        <w:rPr>
          <w:rFonts w:asciiTheme="majorHAnsi" w:hAnsiTheme="majorHAnsi" w:cstheme="majorHAnsi"/>
          <w:lang w:bidi="cs-CZ"/>
        </w:rPr>
        <w:t xml:space="preserve">Předmětem tohoto pracovního dokumentu je vymezení </w:t>
      </w:r>
      <w:r>
        <w:rPr>
          <w:rFonts w:asciiTheme="majorHAnsi" w:hAnsiTheme="majorHAnsi" w:cstheme="majorHAnsi"/>
          <w:lang w:bidi="cs-CZ"/>
        </w:rPr>
        <w:t>pravidel</w:t>
      </w:r>
      <w:r w:rsidRPr="004C142C">
        <w:rPr>
          <w:rFonts w:asciiTheme="majorHAnsi" w:hAnsiTheme="majorHAnsi" w:cstheme="majorHAnsi"/>
          <w:lang w:bidi="cs-CZ"/>
        </w:rPr>
        <w:t>, kter</w:t>
      </w:r>
      <w:r>
        <w:rPr>
          <w:rFonts w:asciiTheme="majorHAnsi" w:hAnsiTheme="majorHAnsi" w:cstheme="majorHAnsi"/>
          <w:lang w:bidi="cs-CZ"/>
        </w:rPr>
        <w:t>á</w:t>
      </w:r>
      <w:r w:rsidRPr="004C142C">
        <w:rPr>
          <w:rFonts w:asciiTheme="majorHAnsi" w:hAnsiTheme="majorHAnsi" w:cstheme="majorHAnsi"/>
          <w:lang w:bidi="cs-CZ"/>
        </w:rPr>
        <w:t xml:space="preserve"> by orgány pro rovné zacházení mohly prosazovat, sjednávat a podporovat ve vztahu k evropským a národním orgánům při stanovování standardů pro orgány pro rovné zacházení na evropské úrovni a při jejich implementaci na národní úrovni.</w:t>
      </w:r>
    </w:p>
    <w:p w:rsidR="00BD60A4" w:rsidRPr="004C142C" w:rsidRDefault="00BD60A4" w:rsidP="00BD60A4">
      <w:pPr>
        <w:spacing w:after="120"/>
        <w:jc w:val="both"/>
        <w:rPr>
          <w:rFonts w:asciiTheme="majorHAnsi" w:hAnsiTheme="majorHAnsi" w:cstheme="majorHAnsi"/>
        </w:rPr>
      </w:pPr>
      <w:r w:rsidRPr="004C142C">
        <w:rPr>
          <w:rFonts w:asciiTheme="majorHAnsi" w:hAnsiTheme="majorHAnsi" w:cstheme="majorHAnsi"/>
          <w:lang w:bidi="cs-CZ"/>
        </w:rPr>
        <w:t xml:space="preserve">Usiluje o stanovení minimálních základních standardů a zároveň i o stanovení standardů, které by zajistily, že orgán pro rovné zacházení rozvine svůj potenciál naplno. Cílem je, aby standardy braly v úvahu a: 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umožnily výkon konkrétních úkolů, schopností a potenciálu orgánů pro rovné zacházení,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reagovaly na širší institucionální rámec, do nějž jsou orgány pro rovné zacházení zasazeny,</w:t>
      </w:r>
    </w:p>
    <w:p w:rsidR="00BD60A4" w:rsidRPr="00BD60A4" w:rsidRDefault="00BD60A4" w:rsidP="00BD60A4">
      <w:pPr>
        <w:pStyle w:val="ListParagraph"/>
        <w:numPr>
          <w:ilvl w:val="0"/>
          <w:numId w:val="31"/>
        </w:numPr>
        <w:spacing w:after="120"/>
        <w:jc w:val="both"/>
        <w:rPr>
          <w:rFonts w:asciiTheme="majorHAnsi" w:hAnsiTheme="majorHAnsi" w:cstheme="majorHAnsi"/>
          <w:color w:val="000000" w:themeColor="text1"/>
        </w:rPr>
      </w:pPr>
      <w:r w:rsidRPr="00BD60A4">
        <w:rPr>
          <w:rFonts w:asciiTheme="majorHAnsi" w:hAnsiTheme="majorHAnsi" w:cstheme="majorHAnsi"/>
          <w:color w:val="000000" w:themeColor="text1"/>
        </w:rPr>
        <w:t>vypořádaly se s proměnami situace orgánů pro rovné zacházení a s novými trendy a vývojem v oblasti jejich zakládání, působnosti a činnosti.</w:t>
      </w:r>
    </w:p>
    <w:p w:rsidR="006C159D" w:rsidRPr="00583F88" w:rsidRDefault="006C159D" w:rsidP="006C159D">
      <w:pPr>
        <w:pStyle w:val="ListParagraph"/>
        <w:spacing w:after="120"/>
        <w:jc w:val="both"/>
        <w:rPr>
          <w:rFonts w:asciiTheme="majorHAnsi" w:hAnsiTheme="majorHAnsi" w:cstheme="majorHAnsi"/>
        </w:rPr>
      </w:pPr>
    </w:p>
    <w:p w:rsidR="004C142C" w:rsidRDefault="004C142C" w:rsidP="00F04728">
      <w:pPr>
        <w:spacing w:after="120"/>
        <w:jc w:val="both"/>
        <w:rPr>
          <w:rFonts w:asciiTheme="majorHAnsi" w:hAnsiTheme="majorHAnsi" w:cstheme="majorHAnsi"/>
          <w:b/>
          <w:color w:val="4F81BD" w:themeColor="accent1"/>
          <w:sz w:val="28"/>
        </w:rPr>
      </w:pPr>
    </w:p>
    <w:p w:rsidR="00A66775" w:rsidRDefault="00A66775">
      <w:pPr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br w:type="page"/>
      </w:r>
    </w:p>
    <w:p w:rsidR="001932EF" w:rsidRPr="006C159D" w:rsidRDefault="00BD60A4" w:rsidP="006C159D">
      <w:pPr>
        <w:shd w:val="clear" w:color="auto" w:fill="0070C0"/>
        <w:spacing w:after="120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BD60A4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lastRenderedPageBreak/>
        <w:t>STANDARDY</w:t>
      </w:r>
    </w:p>
    <w:p w:rsidR="00D240B2" w:rsidRDefault="00D240B2" w:rsidP="004C6BEF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</w:p>
    <w:p w:rsidR="004C6BEF" w:rsidRPr="006C159D" w:rsidRDefault="00BD60A4" w:rsidP="004C6BEF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  <w:r w:rsidRPr="00BD60A4">
        <w:rPr>
          <w:rFonts w:asciiTheme="majorHAnsi" w:hAnsiTheme="majorHAnsi" w:cstheme="majorHAnsi"/>
          <w:b/>
          <w:color w:val="002060"/>
        </w:rPr>
        <w:t>STANDARDY pomáhají: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Evropské komisi při monitorování úplné a efektivní implementace směrnic EU o rovném zacházení,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vládám při vytváření vhodných podmínek pro působení orgánů pro rovné zacházení,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orgánům pro rovné zacházení k dosažení jejich potenciálu v oblasti a podpory rovného zacházení v praxi a při odstraňování diskriminace,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orgánům pro rovné zacházení získat potřebné postavení a platformu pro formulaci jejich pozic,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orgánům pro rovné zacházení k tomu, aby veškeré své funkce a pravomoci mohly vykonávat v míře a na úrovni, která povede k dosažení relevantních výsledků,</w:t>
      </w:r>
    </w:p>
    <w:p w:rsidR="000406C7" w:rsidRPr="00A66775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orgánům pro rovné zacházení, aby při výkonu jejich funkcí nebo při realizaci jejich potenciálu nebyla podkopávána nebo snižována jejich důležitost.</w:t>
      </w:r>
    </w:p>
    <w:p w:rsidR="00583F88" w:rsidRDefault="00583F88" w:rsidP="00F04728">
      <w:pPr>
        <w:spacing w:after="120"/>
        <w:jc w:val="both"/>
        <w:rPr>
          <w:rFonts w:asciiTheme="majorHAnsi" w:hAnsiTheme="majorHAnsi" w:cstheme="majorHAnsi"/>
          <w:b/>
          <w:color w:val="4F81BD" w:themeColor="accent1"/>
        </w:rPr>
      </w:pPr>
    </w:p>
    <w:p w:rsidR="000406C7" w:rsidRPr="006C159D" w:rsidRDefault="00BD60A4" w:rsidP="00F04728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  <w:r w:rsidRPr="00BD60A4">
        <w:rPr>
          <w:rFonts w:asciiTheme="majorHAnsi" w:hAnsiTheme="majorHAnsi" w:cstheme="majorHAnsi"/>
          <w:b/>
          <w:color w:val="002060"/>
        </w:rPr>
        <w:t>STANDARDY by měly: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orgánům pro rovné zacházení zajistit co nejširší působnost v oblasti rovného zacházení a zákazu diskriminace,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vymezit a vytvářet podmínky, které orgány pro rovné zacházení potřebují k nezávislému a efektivnímu výkonu svého mandátu,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vhodně umístit orgány pro rovné zacházení v rámci širšího institucionálního rámce za účelem prosazování rovného zacházení a boje proti diskriminaci,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umožnit orgánům pro rovné zacházení uplatnit svůj potenciál,</w:t>
      </w:r>
    </w:p>
    <w:p w:rsidR="00BD60A4" w:rsidRPr="00BD60A4" w:rsidRDefault="00BD60A4" w:rsidP="00BD60A4">
      <w:pPr>
        <w:pStyle w:val="ListParagraph"/>
        <w:numPr>
          <w:ilvl w:val="0"/>
          <w:numId w:val="28"/>
        </w:numPr>
        <w:shd w:val="clear" w:color="auto" w:fill="FDE9D9" w:themeFill="accent6" w:themeFillTint="33"/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zajistit, aby nedošlo ke zhoršení situace kteréhokoliv orgánu pro rovné zacházení.</w:t>
      </w:r>
    </w:p>
    <w:p w:rsidR="00F04728" w:rsidRPr="004C142C" w:rsidRDefault="00F04728" w:rsidP="00F04728">
      <w:pPr>
        <w:spacing w:after="120"/>
        <w:jc w:val="both"/>
        <w:rPr>
          <w:rFonts w:asciiTheme="majorHAnsi" w:hAnsiTheme="majorHAnsi" w:cstheme="majorHAnsi"/>
          <w:b/>
          <w:sz w:val="28"/>
        </w:rPr>
      </w:pPr>
    </w:p>
    <w:p w:rsidR="006C159D" w:rsidRDefault="006C159D">
      <w:pPr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 w:cstheme="majorHAnsi"/>
          <w:b/>
          <w:color w:val="4F81BD" w:themeColor="accent1"/>
          <w:sz w:val="32"/>
          <w:szCs w:val="32"/>
        </w:rPr>
        <w:br w:type="page"/>
      </w:r>
    </w:p>
    <w:p w:rsidR="00A271A9" w:rsidRPr="004B0707" w:rsidRDefault="00BD60A4" w:rsidP="00D240B2">
      <w:pPr>
        <w:spacing w:after="120"/>
        <w:jc w:val="right"/>
        <w:rPr>
          <w:rFonts w:ascii="Arial Rounded MT Bold" w:hAnsi="Arial Rounded MT Bold" w:cstheme="majorHAnsi"/>
          <w:b/>
          <w:color w:val="002060"/>
          <w:sz w:val="72"/>
          <w:szCs w:val="72"/>
        </w:rPr>
      </w:pPr>
      <w:r w:rsidRPr="00BD60A4">
        <w:rPr>
          <w:rFonts w:ascii="Arial Rounded MT Bold" w:hAnsi="Arial Rounded MT Bold" w:cstheme="majorHAnsi"/>
          <w:b/>
          <w:color w:val="002060"/>
          <w:sz w:val="72"/>
          <w:szCs w:val="72"/>
        </w:rPr>
        <w:lastRenderedPageBreak/>
        <w:t>RÁMEC STANDARD</w:t>
      </w:r>
      <w:r w:rsidRPr="00BD60A4">
        <w:rPr>
          <w:rFonts w:ascii="Arial" w:hAnsi="Arial" w:cs="Arial"/>
          <w:b/>
          <w:color w:val="002060"/>
          <w:sz w:val="72"/>
          <w:szCs w:val="72"/>
        </w:rPr>
        <w:t>Ů</w:t>
      </w:r>
    </w:p>
    <w:p w:rsidR="004B0707" w:rsidRDefault="004B0707" w:rsidP="00F04728">
      <w:pPr>
        <w:spacing w:after="120"/>
        <w:jc w:val="both"/>
        <w:rPr>
          <w:rFonts w:asciiTheme="majorHAnsi" w:hAnsiTheme="majorHAnsi" w:cstheme="majorHAnsi"/>
          <w:b/>
          <w:color w:val="4F81BD" w:themeColor="accent1"/>
        </w:rPr>
      </w:pPr>
    </w:p>
    <w:p w:rsidR="004B0707" w:rsidRPr="00AB5CA8" w:rsidRDefault="00BD60A4" w:rsidP="00F04728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  <w:r w:rsidRPr="00BD60A4">
        <w:rPr>
          <w:rFonts w:asciiTheme="majorHAnsi" w:hAnsiTheme="majorHAnsi" w:cstheme="majorHAnsi"/>
          <w:b/>
          <w:color w:val="002060"/>
        </w:rPr>
        <w:t>V rámci STANDARDŮ musí být upraven:</w:t>
      </w:r>
    </w:p>
    <w:p w:rsidR="004B0707" w:rsidRPr="004B0707" w:rsidRDefault="00BD60A4" w:rsidP="00BD60A4">
      <w:pPr>
        <w:pStyle w:val="ListParagraph"/>
        <w:numPr>
          <w:ilvl w:val="0"/>
          <w:numId w:val="3"/>
        </w:numPr>
        <w:shd w:val="clear" w:color="auto" w:fill="5F497A" w:themeFill="accent4" w:themeFillShade="BF"/>
        <w:spacing w:after="120"/>
        <w:jc w:val="center"/>
        <w:rPr>
          <w:rFonts w:asciiTheme="majorHAnsi" w:hAnsiTheme="majorHAnsi" w:cstheme="majorHAnsi"/>
          <w:color w:val="FFFFFF" w:themeColor="background1"/>
          <w:sz w:val="28"/>
        </w:rPr>
      </w:pPr>
      <w:r w:rsidRPr="00BD60A4">
        <w:rPr>
          <w:rFonts w:asciiTheme="majorHAnsi" w:hAnsiTheme="majorHAnsi" w:cstheme="majorHAnsi"/>
          <w:b/>
          <w:color w:val="FFFFFF" w:themeColor="background1"/>
          <w:sz w:val="28"/>
        </w:rPr>
        <w:t>PŮSOBNOST</w:t>
      </w:r>
    </w:p>
    <w:p w:rsidR="004B0707" w:rsidRDefault="00BD60A4" w:rsidP="00F75B4D">
      <w:pPr>
        <w:spacing w:after="120"/>
        <w:jc w:val="both"/>
        <w:rPr>
          <w:rFonts w:asciiTheme="majorHAnsi" w:hAnsiTheme="majorHAnsi" w:cstheme="majorHAnsi"/>
        </w:rPr>
      </w:pPr>
      <w:r w:rsidRPr="00BD60A4">
        <w:rPr>
          <w:rFonts w:asciiTheme="majorHAnsi" w:hAnsiTheme="majorHAnsi" w:cstheme="majorHAnsi"/>
        </w:rPr>
        <w:t>Orgány pro rovné zacházení jsou nezávislými orgány zřízenými zákonem, jejichž úkolem je prosazování legislativy v oblasti rovného zacházení, přičemž tyto orgány musí mít širokou působnost pro prosazování a podporu dosažení rovného zacházení v praxi a pro boj s veškerými formami diskriminace ve všech oblastech společenského života a pro odstraňování této diskriminace.</w:t>
      </w:r>
    </w:p>
    <w:p w:rsidR="00F75B4D" w:rsidRPr="00F75B4D" w:rsidRDefault="00F75B4D" w:rsidP="00F75B4D">
      <w:pPr>
        <w:spacing w:after="120"/>
        <w:jc w:val="both"/>
        <w:rPr>
          <w:rFonts w:asciiTheme="majorHAnsi" w:hAnsiTheme="majorHAnsi" w:cstheme="majorHAnsi"/>
        </w:rPr>
      </w:pPr>
    </w:p>
    <w:p w:rsidR="00F75B4D" w:rsidRPr="00F75B4D" w:rsidRDefault="00BD60A4" w:rsidP="00BD60A4">
      <w:pPr>
        <w:pStyle w:val="ListParagraph"/>
        <w:numPr>
          <w:ilvl w:val="0"/>
          <w:numId w:val="3"/>
        </w:numPr>
        <w:shd w:val="clear" w:color="auto" w:fill="31849B" w:themeFill="accent5" w:themeFillShade="BF"/>
        <w:spacing w:after="120"/>
        <w:jc w:val="center"/>
        <w:rPr>
          <w:rFonts w:asciiTheme="majorHAnsi" w:hAnsiTheme="majorHAnsi" w:cstheme="majorHAnsi"/>
          <w:color w:val="FFFFFF" w:themeColor="background1"/>
          <w:sz w:val="28"/>
        </w:rPr>
      </w:pPr>
      <w:r>
        <w:rPr>
          <w:rFonts w:asciiTheme="majorHAnsi" w:hAnsiTheme="majorHAnsi" w:cstheme="majorHAnsi"/>
          <w:b/>
          <w:color w:val="FFFFFF" w:themeColor="background1"/>
          <w:sz w:val="28"/>
        </w:rPr>
        <w:t>ÚPLNÁ NEZÁVISLOST</w:t>
      </w:r>
    </w:p>
    <w:p w:rsidR="00F75B4D" w:rsidRDefault="00BD60A4" w:rsidP="00F75B4D">
      <w:pPr>
        <w:spacing w:after="120"/>
        <w:jc w:val="both"/>
        <w:rPr>
          <w:rFonts w:asciiTheme="majorHAnsi" w:hAnsiTheme="majorHAnsi" w:cstheme="majorHAnsi"/>
          <w:lang w:bidi="cs-CZ"/>
        </w:rPr>
      </w:pPr>
      <w:r w:rsidRPr="004C6BEF">
        <w:rPr>
          <w:rFonts w:asciiTheme="majorHAnsi" w:hAnsiTheme="majorHAnsi" w:cstheme="majorHAnsi"/>
          <w:lang w:bidi="cs-CZ"/>
        </w:rPr>
        <w:t xml:space="preserve">Orgány pro rovné zacházení musí být zcela nezávislé, aby bez zásahu jiných subjektů mohly v souladu </w:t>
      </w:r>
      <w:r>
        <w:rPr>
          <w:rFonts w:asciiTheme="majorHAnsi" w:hAnsiTheme="majorHAnsi" w:cstheme="majorHAnsi"/>
          <w:lang w:bidi="cs-CZ"/>
        </w:rPr>
        <w:t>s působností</w:t>
      </w:r>
      <w:r w:rsidRPr="004C6BEF">
        <w:rPr>
          <w:rFonts w:asciiTheme="majorHAnsi" w:hAnsiTheme="majorHAnsi" w:cstheme="majorHAnsi"/>
          <w:lang w:bidi="cs-CZ"/>
        </w:rPr>
        <w:t xml:space="preserve"> uplatňovat své pravomoci, jak uznají za vhodné, stanovovat vlastní priority a vyjadřovat se k těmto záležitostem dle svého uvážení, publikovat na základě vlastní analýzy stanovisko k rovnému zacházení, diverzitě a zákazu diskriminace a v rámci požadavků příslušných pracovněprávních předpisů a správného finančního řízení dle vlastního uvážení řídit a využívat své lidské a finanční zdroje.</w:t>
      </w:r>
    </w:p>
    <w:p w:rsidR="00BD60A4" w:rsidRDefault="00BD60A4" w:rsidP="00F75B4D">
      <w:pPr>
        <w:spacing w:after="120"/>
        <w:jc w:val="both"/>
        <w:rPr>
          <w:rFonts w:asciiTheme="majorHAnsi" w:hAnsiTheme="majorHAnsi" w:cstheme="majorHAnsi"/>
        </w:rPr>
      </w:pPr>
    </w:p>
    <w:p w:rsidR="00DD75C8" w:rsidRPr="00F75B4D" w:rsidRDefault="00BD60A4" w:rsidP="00BD60A4">
      <w:pPr>
        <w:pStyle w:val="ListParagraph"/>
        <w:numPr>
          <w:ilvl w:val="0"/>
          <w:numId w:val="3"/>
        </w:numPr>
        <w:shd w:val="clear" w:color="auto" w:fill="943634" w:themeFill="accent2" w:themeFillShade="BF"/>
        <w:spacing w:after="120"/>
        <w:jc w:val="center"/>
        <w:rPr>
          <w:rFonts w:asciiTheme="majorHAnsi" w:hAnsiTheme="majorHAnsi" w:cstheme="majorHAnsi"/>
          <w:color w:val="FFFFFF" w:themeColor="background1"/>
          <w:sz w:val="28"/>
        </w:rPr>
      </w:pPr>
      <w:r w:rsidRPr="00BD60A4">
        <w:rPr>
          <w:rFonts w:asciiTheme="majorHAnsi" w:hAnsiTheme="majorHAnsi" w:cstheme="majorHAnsi"/>
          <w:b/>
          <w:color w:val="FFFFFF" w:themeColor="background1"/>
          <w:sz w:val="28"/>
        </w:rPr>
        <w:t>ÚČINNOST</w:t>
      </w:r>
    </w:p>
    <w:p w:rsidR="00DD75C8" w:rsidRDefault="00BD60A4" w:rsidP="00F75B4D">
      <w:pPr>
        <w:spacing w:after="120"/>
        <w:jc w:val="both"/>
        <w:rPr>
          <w:rFonts w:asciiTheme="majorHAnsi" w:hAnsiTheme="majorHAnsi" w:cstheme="majorHAnsi"/>
          <w:lang w:bidi="cs-CZ"/>
        </w:rPr>
      </w:pPr>
      <w:r w:rsidRPr="004C6BEF">
        <w:rPr>
          <w:rFonts w:asciiTheme="majorHAnsi" w:hAnsiTheme="majorHAnsi" w:cstheme="majorHAnsi"/>
          <w:lang w:bidi="cs-CZ"/>
        </w:rPr>
        <w:t xml:space="preserve">Orgány pro rovné zacházení musejí mít pravomoci a lidské a finanční zdroje nezbytné pro uplatnění všech funkcí a pravomocí těchto orgánů v rámci jejich </w:t>
      </w:r>
      <w:r>
        <w:rPr>
          <w:rFonts w:asciiTheme="majorHAnsi" w:hAnsiTheme="majorHAnsi" w:cstheme="majorHAnsi"/>
          <w:lang w:bidi="cs-CZ"/>
        </w:rPr>
        <w:t>působnosti</w:t>
      </w:r>
      <w:r w:rsidRPr="004C6BEF">
        <w:rPr>
          <w:rFonts w:asciiTheme="majorHAnsi" w:hAnsiTheme="majorHAnsi" w:cstheme="majorHAnsi"/>
          <w:lang w:bidi="cs-CZ"/>
        </w:rPr>
        <w:t>, a to v rozsahu a způsobem, který přinese výsledky a plně rozvine jejich potenciál.</w:t>
      </w:r>
    </w:p>
    <w:p w:rsidR="00BD60A4" w:rsidRPr="000B24FD" w:rsidRDefault="00BD60A4" w:rsidP="00F75B4D">
      <w:pPr>
        <w:spacing w:after="120"/>
        <w:jc w:val="both"/>
        <w:rPr>
          <w:rFonts w:asciiTheme="majorHAnsi" w:hAnsiTheme="majorHAnsi" w:cstheme="majorHAnsi"/>
        </w:rPr>
      </w:pPr>
    </w:p>
    <w:p w:rsidR="00F75B4D" w:rsidRPr="00F75B4D" w:rsidRDefault="00BD60A4" w:rsidP="00BD60A4">
      <w:pPr>
        <w:pStyle w:val="ListParagraph"/>
        <w:numPr>
          <w:ilvl w:val="0"/>
          <w:numId w:val="3"/>
        </w:numPr>
        <w:shd w:val="clear" w:color="auto" w:fill="002060"/>
        <w:spacing w:after="120"/>
        <w:jc w:val="center"/>
        <w:rPr>
          <w:rFonts w:asciiTheme="majorHAnsi" w:hAnsiTheme="majorHAnsi" w:cstheme="majorHAnsi"/>
          <w:color w:val="FFFFFF" w:themeColor="background1"/>
          <w:sz w:val="28"/>
        </w:rPr>
      </w:pPr>
      <w:r w:rsidRPr="00BD60A4">
        <w:rPr>
          <w:rFonts w:asciiTheme="majorHAnsi" w:hAnsiTheme="majorHAnsi" w:cstheme="majorHAnsi"/>
          <w:b/>
          <w:color w:val="FFFFFF" w:themeColor="background1"/>
          <w:sz w:val="28"/>
        </w:rPr>
        <w:t>INSTITUCIONÁLNÍ RÁMEC</w:t>
      </w:r>
    </w:p>
    <w:p w:rsidR="00BD60A4" w:rsidRDefault="00BD60A4" w:rsidP="00BD60A4">
      <w:pPr>
        <w:spacing w:after="120"/>
        <w:jc w:val="both"/>
        <w:rPr>
          <w:rFonts w:asciiTheme="majorHAnsi" w:hAnsiTheme="majorHAnsi" w:cstheme="majorHAnsi"/>
          <w:lang w:bidi="cs-CZ"/>
        </w:rPr>
      </w:pPr>
      <w:r w:rsidRPr="004C6BEF">
        <w:rPr>
          <w:rFonts w:asciiTheme="majorHAnsi" w:hAnsiTheme="majorHAnsi" w:cstheme="majorHAnsi"/>
          <w:lang w:bidi="cs-CZ"/>
        </w:rPr>
        <w:t xml:space="preserve">Orgány pro rovné zacházení působí v širším institucionálním rámci a jejich úkolem je boj proti diskriminaci a prosazování rovného zacházení na vnitrostátní úrovni; pro dosažení úplného rovného zacházení v praxi </w:t>
      </w:r>
      <w:r>
        <w:rPr>
          <w:rFonts w:asciiTheme="majorHAnsi" w:hAnsiTheme="majorHAnsi" w:cstheme="majorHAnsi"/>
          <w:lang w:bidi="cs-CZ"/>
        </w:rPr>
        <w:t>k nim musí mít diskriminovaní jedinci přístup.</w:t>
      </w:r>
    </w:p>
    <w:p w:rsidR="00BD60A4" w:rsidRDefault="00BD60A4">
      <w:pPr>
        <w:rPr>
          <w:rFonts w:asciiTheme="majorHAnsi" w:hAnsiTheme="majorHAnsi" w:cstheme="majorHAnsi"/>
          <w:lang w:bidi="cs-CZ"/>
        </w:rPr>
      </w:pPr>
      <w:r>
        <w:rPr>
          <w:rFonts w:asciiTheme="majorHAnsi" w:hAnsiTheme="majorHAnsi" w:cstheme="majorHAnsi"/>
          <w:lang w:bidi="cs-CZ"/>
        </w:rPr>
        <w:br w:type="page"/>
      </w:r>
    </w:p>
    <w:p w:rsidR="00F04728" w:rsidRPr="00CE3D71" w:rsidRDefault="00BD60A4" w:rsidP="00CE3D71">
      <w:pPr>
        <w:spacing w:after="120"/>
        <w:jc w:val="right"/>
        <w:rPr>
          <w:rFonts w:ascii="Arial Rounded MT Bold" w:hAnsi="Arial Rounded MT Bold" w:cstheme="majorHAnsi"/>
          <w:b/>
          <w:color w:val="002060"/>
          <w:sz w:val="72"/>
          <w:szCs w:val="32"/>
        </w:rPr>
      </w:pPr>
      <w:r w:rsidRPr="00BD60A4">
        <w:rPr>
          <w:rFonts w:ascii="Arial Rounded MT Bold" w:hAnsi="Arial Rounded MT Bold" w:cstheme="majorHAnsi"/>
          <w:b/>
          <w:color w:val="002060"/>
          <w:sz w:val="72"/>
          <w:szCs w:val="32"/>
        </w:rPr>
        <w:lastRenderedPageBreak/>
        <w:t>OBSAH</w:t>
      </w:r>
    </w:p>
    <w:p w:rsidR="00CE3D71" w:rsidRPr="00CE3D71" w:rsidRDefault="00CE3D71" w:rsidP="00CE3D71">
      <w:pPr>
        <w:spacing w:after="120"/>
        <w:jc w:val="both"/>
        <w:rPr>
          <w:rFonts w:asciiTheme="majorHAnsi" w:hAnsiTheme="majorHAnsi" w:cstheme="majorHAnsi"/>
        </w:rPr>
      </w:pPr>
    </w:p>
    <w:p w:rsidR="00A271A9" w:rsidRPr="00CE3D71" w:rsidRDefault="00CE3D71" w:rsidP="00D46356">
      <w:pPr>
        <w:shd w:val="clear" w:color="auto" w:fill="5F497A" w:themeFill="accent4" w:themeFillShade="BF"/>
        <w:spacing w:after="120"/>
        <w:jc w:val="center"/>
        <w:rPr>
          <w:rFonts w:asciiTheme="majorHAnsi" w:hAnsiTheme="majorHAnsi" w:cstheme="majorHAnsi"/>
          <w:b/>
          <w:color w:val="FFFFFF" w:themeColor="background1"/>
          <w:sz w:val="32"/>
        </w:rPr>
      </w:pPr>
      <w:r w:rsidRPr="00CE3D71">
        <w:rPr>
          <w:rFonts w:asciiTheme="majorHAnsi" w:hAnsiTheme="majorHAnsi" w:cstheme="majorHAnsi"/>
          <w:b/>
          <w:color w:val="FFFFFF" w:themeColor="background1"/>
          <w:sz w:val="32"/>
        </w:rPr>
        <w:t xml:space="preserve">1. </w:t>
      </w:r>
      <w:r w:rsidR="009F1166" w:rsidRPr="009F1166">
        <w:rPr>
          <w:rFonts w:asciiTheme="majorHAnsi" w:hAnsiTheme="majorHAnsi" w:cstheme="majorHAnsi"/>
          <w:b/>
          <w:color w:val="FFFFFF" w:themeColor="background1"/>
          <w:sz w:val="32"/>
        </w:rPr>
        <w:t>PŮSOBNOST</w:t>
      </w:r>
    </w:p>
    <w:p w:rsidR="009F1166" w:rsidRPr="009F1166" w:rsidRDefault="009F1166" w:rsidP="009F1166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  <w:r w:rsidRPr="009F1166">
        <w:rPr>
          <w:rFonts w:asciiTheme="majorHAnsi" w:hAnsiTheme="majorHAnsi" w:cstheme="majorHAnsi"/>
          <w:b/>
          <w:color w:val="002060"/>
        </w:rPr>
        <w:t>STANDARDY musí upravovat a zajistit:</w:t>
      </w:r>
    </w:p>
    <w:p w:rsidR="009F1166" w:rsidRPr="004C142C" w:rsidRDefault="009F1166" w:rsidP="009F1166">
      <w:pPr>
        <w:pStyle w:val="ListParagraph"/>
        <w:numPr>
          <w:ilvl w:val="0"/>
          <w:numId w:val="37"/>
        </w:numPr>
        <w:spacing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bidi="cs-CZ"/>
        </w:rPr>
        <w:t>působnost</w:t>
      </w:r>
      <w:r w:rsidRPr="004C142C">
        <w:rPr>
          <w:rFonts w:asciiTheme="majorHAnsi" w:hAnsiTheme="majorHAnsi" w:cstheme="majorHAnsi"/>
          <w:lang w:bidi="cs-CZ"/>
        </w:rPr>
        <w:t xml:space="preserve"> zahrnující rovné zacházení, diverzitu a zákaz diskriminace ve veřejném i soukromém sektoru, který musí pokrývat minimálně oblast zaměstnávání, odborného vzdělávání, zboží a služeb, všeobecného vzdělávání, bydlení, sociální ochrany a sociálních výhod,</w:t>
      </w:r>
    </w:p>
    <w:p w:rsidR="009F1166" w:rsidRPr="009F1166" w:rsidRDefault="009F1166" w:rsidP="009F1166">
      <w:pPr>
        <w:pStyle w:val="ListParagraph"/>
        <w:numPr>
          <w:ilvl w:val="0"/>
          <w:numId w:val="37"/>
        </w:numPr>
        <w:spacing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bidi="cs-CZ"/>
        </w:rPr>
        <w:t>působnost</w:t>
      </w:r>
      <w:r w:rsidRPr="004C142C">
        <w:rPr>
          <w:rFonts w:asciiTheme="majorHAnsi" w:hAnsiTheme="majorHAnsi" w:cstheme="majorHAnsi"/>
          <w:lang w:bidi="cs-CZ"/>
        </w:rPr>
        <w:t xml:space="preserve">, který minimálně zajistí, aby do pravomoci orgánu pro rovné zacházení nebo orgánů v daném státě spadaly všechny důvody upravené v článku 19 Smlouvy </w:t>
      </w:r>
      <w:r w:rsidRPr="00652D7C">
        <w:rPr>
          <w:rFonts w:asciiTheme="majorHAnsi" w:hAnsiTheme="majorHAnsi" w:cstheme="majorHAnsi"/>
          <w:lang w:bidi="cs-CZ"/>
        </w:rPr>
        <w:t>o fungování Evropské unie</w:t>
      </w:r>
      <w:r w:rsidRPr="004C142C">
        <w:rPr>
          <w:rFonts w:asciiTheme="majorHAnsi" w:hAnsiTheme="majorHAnsi" w:cstheme="majorHAnsi"/>
          <w:lang w:bidi="cs-CZ"/>
        </w:rPr>
        <w:t xml:space="preserve">, a který bude pokrývat vícenásobnou diskriminaci a také bude řádně zohledňovat důvody stanovené v Listině základních práv </w:t>
      </w:r>
      <w:r>
        <w:rPr>
          <w:rFonts w:asciiTheme="majorHAnsi" w:hAnsiTheme="majorHAnsi" w:cstheme="majorHAnsi"/>
          <w:lang w:bidi="cs-CZ"/>
        </w:rPr>
        <w:t xml:space="preserve">EU </w:t>
      </w:r>
      <w:r w:rsidRPr="004C142C">
        <w:rPr>
          <w:rFonts w:asciiTheme="majorHAnsi" w:hAnsiTheme="majorHAnsi" w:cstheme="majorHAnsi"/>
          <w:lang w:bidi="cs-CZ"/>
        </w:rPr>
        <w:t>(článek 21).</w:t>
      </w:r>
    </w:p>
    <w:p w:rsidR="00F04728" w:rsidRPr="004C142C" w:rsidRDefault="00F04728" w:rsidP="00F04728">
      <w:pPr>
        <w:spacing w:after="120"/>
        <w:jc w:val="both"/>
        <w:rPr>
          <w:rFonts w:asciiTheme="majorHAnsi" w:hAnsiTheme="majorHAnsi" w:cstheme="majorHAnsi"/>
          <w:b/>
        </w:rPr>
      </w:pPr>
    </w:p>
    <w:p w:rsidR="00A271A9" w:rsidRPr="00D51ACB" w:rsidRDefault="00D51ACB" w:rsidP="00D46356">
      <w:pPr>
        <w:shd w:val="clear" w:color="auto" w:fill="31849B" w:themeFill="accent5" w:themeFillShade="BF"/>
        <w:spacing w:after="120"/>
        <w:jc w:val="center"/>
        <w:rPr>
          <w:rFonts w:asciiTheme="majorHAnsi" w:hAnsiTheme="majorHAnsi" w:cstheme="majorHAnsi"/>
          <w:b/>
          <w:color w:val="FFFFFF" w:themeColor="background1"/>
          <w:sz w:val="32"/>
        </w:rPr>
      </w:pPr>
      <w:r w:rsidRPr="00D51ACB">
        <w:rPr>
          <w:rFonts w:asciiTheme="majorHAnsi" w:hAnsiTheme="majorHAnsi" w:cstheme="majorHAnsi"/>
          <w:b/>
          <w:color w:val="FFFFFF" w:themeColor="background1"/>
          <w:sz w:val="32"/>
        </w:rPr>
        <w:t>2.</w:t>
      </w:r>
      <w:r w:rsidR="009F1166">
        <w:rPr>
          <w:rFonts w:asciiTheme="majorHAnsi" w:hAnsiTheme="majorHAnsi" w:cstheme="majorHAnsi"/>
          <w:b/>
          <w:color w:val="FFFFFF" w:themeColor="background1"/>
          <w:sz w:val="32"/>
        </w:rPr>
        <w:t xml:space="preserve"> </w:t>
      </w:r>
      <w:r w:rsidR="009F1166" w:rsidRPr="009F1166">
        <w:rPr>
          <w:rFonts w:asciiTheme="majorHAnsi" w:hAnsiTheme="majorHAnsi" w:cstheme="majorHAnsi"/>
          <w:b/>
          <w:color w:val="FFFFFF" w:themeColor="background1"/>
          <w:sz w:val="32"/>
        </w:rPr>
        <w:t>ÚPLNÁ NEZÁVISLOST</w:t>
      </w:r>
    </w:p>
    <w:p w:rsidR="00F31C8A" w:rsidRDefault="009F1166" w:rsidP="00F04728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  <w:r w:rsidRPr="009F1166">
        <w:rPr>
          <w:rFonts w:asciiTheme="majorHAnsi" w:hAnsiTheme="majorHAnsi" w:cstheme="majorHAnsi"/>
          <w:b/>
          <w:color w:val="002060"/>
        </w:rPr>
        <w:t>STANDARDY musí upravovat a zajistit:</w:t>
      </w:r>
    </w:p>
    <w:p w:rsidR="009D295C" w:rsidRPr="009D295C" w:rsidRDefault="009D295C" w:rsidP="009D295C">
      <w:pPr>
        <w:pStyle w:val="ListParagraph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aby měly zřizované orgány pro rovné zacházení vlastní právní </w:t>
      </w:r>
      <w:r>
        <w:rPr>
          <w:rFonts w:asciiTheme="majorHAnsi" w:hAnsiTheme="majorHAnsi" w:cstheme="majorHAnsi"/>
          <w:lang w:bidi="cs-CZ"/>
        </w:rPr>
        <w:t>subjektivitu,</w:t>
      </w:r>
      <w:r w:rsidRPr="009D295C">
        <w:rPr>
          <w:rFonts w:asciiTheme="majorHAnsi" w:hAnsiTheme="majorHAnsi" w:cstheme="majorHAnsi"/>
          <w:lang w:bidi="cs-CZ"/>
        </w:rPr>
        <w:t xml:space="preserve"> </w:t>
      </w:r>
      <w:r w:rsidRPr="005D214C">
        <w:rPr>
          <w:rFonts w:asciiTheme="majorHAnsi" w:hAnsiTheme="majorHAnsi" w:cstheme="majorHAnsi"/>
          <w:lang w:bidi="cs-CZ"/>
        </w:rPr>
        <w:t xml:space="preserve">právní strukturu nezávislou na vládě a působnost vymezenou </w:t>
      </w:r>
      <w:r w:rsidRPr="004C142C">
        <w:rPr>
          <w:rFonts w:asciiTheme="majorHAnsi" w:hAnsiTheme="majorHAnsi" w:cstheme="majorHAnsi"/>
          <w:lang w:bidi="cs-CZ"/>
        </w:rPr>
        <w:t>zákonem,</w:t>
      </w:r>
    </w:p>
    <w:p w:rsidR="009D295C" w:rsidRPr="004C142C" w:rsidRDefault="009D295C" w:rsidP="009D295C">
      <w:pPr>
        <w:pStyle w:val="ListParagraph"/>
        <w:spacing w:after="120"/>
        <w:ind w:left="360"/>
        <w:jc w:val="both"/>
        <w:rPr>
          <w:rFonts w:asciiTheme="majorHAnsi" w:hAnsiTheme="majorHAnsi" w:cstheme="majorHAnsi"/>
          <w:b/>
        </w:rPr>
      </w:pPr>
    </w:p>
    <w:p w:rsidR="009D295C" w:rsidRPr="009D295C" w:rsidRDefault="009D295C" w:rsidP="009D295C">
      <w:pPr>
        <w:pStyle w:val="ListParagraph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strukturu řízení, která odráží lidskou rozmanitost a rozmanitost sociálních sil ve společnosti, a kde je vedení jmenováno transparentním a nezávislým postupem, přičemž hlavním měřítkem jsou schopnosti</w:t>
      </w:r>
      <w:r>
        <w:rPr>
          <w:rFonts w:asciiTheme="majorHAnsi" w:hAnsiTheme="majorHAnsi" w:cstheme="majorHAnsi"/>
          <w:lang w:bidi="cs-CZ"/>
        </w:rPr>
        <w:t xml:space="preserve"> členů vedení</w:t>
      </w:r>
      <w:r w:rsidRPr="004C142C">
        <w:rPr>
          <w:rFonts w:asciiTheme="majorHAnsi" w:hAnsiTheme="majorHAnsi" w:cstheme="majorHAnsi"/>
          <w:lang w:bidi="cs-CZ"/>
        </w:rPr>
        <w:t>,</w:t>
      </w:r>
      <w:r>
        <w:rPr>
          <w:rFonts w:asciiTheme="majorHAnsi" w:hAnsiTheme="majorHAnsi" w:cstheme="majorHAnsi"/>
          <w:lang w:bidi="cs-CZ"/>
        </w:rPr>
        <w:br/>
      </w:r>
    </w:p>
    <w:p w:rsidR="009D295C" w:rsidRPr="009D295C" w:rsidRDefault="009D295C" w:rsidP="009D295C">
      <w:pPr>
        <w:pStyle w:val="ListParagraph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systémy odpovědnosti, které zohlední a zajistí nezávislost a efektivitu orgánů pro rovné zacházení, </w:t>
      </w:r>
    </w:p>
    <w:p w:rsidR="009D295C" w:rsidRPr="004C142C" w:rsidRDefault="009D295C" w:rsidP="009D295C">
      <w:pPr>
        <w:pStyle w:val="ListParagraph"/>
        <w:spacing w:after="120"/>
        <w:ind w:left="360"/>
        <w:jc w:val="both"/>
        <w:rPr>
          <w:rFonts w:asciiTheme="majorHAnsi" w:hAnsiTheme="majorHAnsi" w:cstheme="majorHAnsi"/>
          <w:b/>
        </w:rPr>
      </w:pPr>
    </w:p>
    <w:p w:rsidR="009D295C" w:rsidRPr="009D295C" w:rsidRDefault="009D295C" w:rsidP="009D295C">
      <w:pPr>
        <w:pStyle w:val="ListParagraph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absenci nátlaku či možnost obrany před přímými či nepřímými zásahy či nevhodným vměšováním, zejména ze strany vlády a státu, při volbě strategie, při rozhodování, při volbě právních kroků, při zaujímání stanovisek k určitým záležitostem a při naplňování principů rovného zacházení, diverzity a zákazu diskriminace v praxi,</w:t>
      </w:r>
      <w:r>
        <w:rPr>
          <w:rFonts w:asciiTheme="majorHAnsi" w:hAnsiTheme="majorHAnsi" w:cstheme="majorHAnsi"/>
          <w:lang w:bidi="cs-CZ"/>
        </w:rPr>
        <w:br/>
      </w:r>
    </w:p>
    <w:p w:rsidR="009D295C" w:rsidRPr="009D295C" w:rsidRDefault="009D295C" w:rsidP="009D295C">
      <w:pPr>
        <w:pStyle w:val="ListParagraph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řízení a využití zaměstnanců a finančních zdrojů pouze na základě rozhodnutí přijatých osobami na vedoucích pozicích, při respektování požadavků pracovněprávních předpisů a řádného finančního řízení,</w:t>
      </w:r>
    </w:p>
    <w:p w:rsidR="009D295C" w:rsidRPr="004C142C" w:rsidRDefault="009D295C" w:rsidP="009D295C">
      <w:pPr>
        <w:pStyle w:val="ListParagraph"/>
        <w:spacing w:after="120"/>
        <w:ind w:left="360"/>
        <w:jc w:val="both"/>
        <w:rPr>
          <w:rFonts w:asciiTheme="majorHAnsi" w:hAnsiTheme="majorHAnsi" w:cstheme="majorHAnsi"/>
          <w:b/>
        </w:rPr>
      </w:pPr>
    </w:p>
    <w:p w:rsidR="009D295C" w:rsidRPr="004C142C" w:rsidRDefault="009D295C" w:rsidP="009D295C">
      <w:pPr>
        <w:pStyle w:val="ListParagraph"/>
        <w:numPr>
          <w:ilvl w:val="0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lastRenderedPageBreak/>
        <w:t>schopnost orgánů pro rovné zacházení:</w:t>
      </w:r>
    </w:p>
    <w:p w:rsidR="009D295C" w:rsidRPr="005D214C" w:rsidRDefault="009D295C" w:rsidP="000E7869">
      <w:pPr>
        <w:pStyle w:val="ListParagraph"/>
        <w:numPr>
          <w:ilvl w:val="1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5D214C">
        <w:rPr>
          <w:rFonts w:asciiTheme="majorHAnsi" w:hAnsiTheme="majorHAnsi" w:cstheme="majorHAnsi"/>
          <w:lang w:bidi="cs-CZ"/>
        </w:rPr>
        <w:t>účastnit se právních řízení na mezinárodní úrovni, vytvářet vazby a získávat kontakty,</w:t>
      </w:r>
    </w:p>
    <w:p w:rsidR="009D295C" w:rsidRPr="004C142C" w:rsidRDefault="009D295C" w:rsidP="000E7869">
      <w:pPr>
        <w:pStyle w:val="ListParagraph"/>
        <w:numPr>
          <w:ilvl w:val="1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zajistit a použít finanční prostředky z jiných než státních zdrojů,</w:t>
      </w:r>
    </w:p>
    <w:p w:rsidR="009D295C" w:rsidRPr="004C142C" w:rsidRDefault="009D295C" w:rsidP="000E7869">
      <w:pPr>
        <w:pStyle w:val="ListParagraph"/>
        <w:numPr>
          <w:ilvl w:val="1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uzavírat smlouvy s organizacemi za účelem podpory práce na dosažení společných cílů, </w:t>
      </w:r>
    </w:p>
    <w:p w:rsidR="009D295C" w:rsidRPr="004C142C" w:rsidRDefault="009D295C" w:rsidP="000E7869">
      <w:pPr>
        <w:pStyle w:val="ListParagraph"/>
        <w:numPr>
          <w:ilvl w:val="1"/>
          <w:numId w:val="36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zajistit podmínky nutné pro vybudování důvěry u skupin, které jsou diskriminovány a s nimiž je nerovně zacházeno.</w:t>
      </w:r>
    </w:p>
    <w:p w:rsidR="00583F88" w:rsidRPr="00BD60A4" w:rsidRDefault="00583F88" w:rsidP="003B45E0">
      <w:pPr>
        <w:spacing w:after="12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:rsidR="00A271A9" w:rsidRPr="0045120E" w:rsidRDefault="0045120E" w:rsidP="00D46356">
      <w:pPr>
        <w:shd w:val="clear" w:color="auto" w:fill="943634" w:themeFill="accent2" w:themeFillShade="BF"/>
        <w:spacing w:after="120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45120E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3. </w:t>
      </w:r>
      <w:r w:rsidR="009D295C" w:rsidRPr="009D295C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ÚČINNOST</w:t>
      </w:r>
    </w:p>
    <w:p w:rsidR="00F31C8A" w:rsidRPr="00EB582D" w:rsidRDefault="009D295C" w:rsidP="00F04728">
      <w:pPr>
        <w:spacing w:after="120"/>
        <w:jc w:val="both"/>
        <w:rPr>
          <w:rFonts w:asciiTheme="majorHAnsi" w:hAnsiTheme="majorHAnsi" w:cstheme="majorHAnsi"/>
          <w:color w:val="002060"/>
        </w:rPr>
      </w:pPr>
      <w:r w:rsidRPr="009D295C">
        <w:rPr>
          <w:rFonts w:asciiTheme="majorHAnsi" w:hAnsiTheme="majorHAnsi" w:cstheme="majorHAnsi"/>
          <w:b/>
          <w:color w:val="002060"/>
        </w:rPr>
        <w:t>STANDARDY musí upravovat a zajistit:</w:t>
      </w:r>
    </w:p>
    <w:p w:rsidR="009A7699" w:rsidRPr="000E7869" w:rsidRDefault="009A7699" w:rsidP="009A769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dostatečné finanční prostředky, které umožní orgánům pro rovné zacházení vykonávat všechny funkce a pravomoci v takovém rozsahu a při takových standardech, které budou přinášet výsledky. Orgán pro rovné zacházení by měl být schopen žádat potřebné prostředky od relevantních aktérů, </w:t>
      </w:r>
    </w:p>
    <w:p w:rsidR="000E7869" w:rsidRPr="004C142C" w:rsidRDefault="000E7869" w:rsidP="000E7869">
      <w:pPr>
        <w:pStyle w:val="ListParagraph"/>
        <w:spacing w:after="120"/>
        <w:ind w:left="360"/>
        <w:jc w:val="both"/>
        <w:rPr>
          <w:rFonts w:asciiTheme="majorHAnsi" w:hAnsiTheme="majorHAnsi" w:cstheme="majorHAnsi"/>
          <w:b/>
        </w:rPr>
      </w:pPr>
    </w:p>
    <w:p w:rsidR="000E7869" w:rsidRPr="000E7869" w:rsidRDefault="009A7699" w:rsidP="000E786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dostatečné lidské zdroje, které orgán pro rovné zacházení potřebuje pro plnohodnotný výkon </w:t>
      </w:r>
      <w:r>
        <w:rPr>
          <w:rFonts w:asciiTheme="majorHAnsi" w:hAnsiTheme="majorHAnsi" w:cstheme="majorHAnsi"/>
          <w:lang w:bidi="cs-CZ"/>
        </w:rPr>
        <w:t>působnosti</w:t>
      </w:r>
      <w:r w:rsidRPr="004C142C">
        <w:rPr>
          <w:rFonts w:asciiTheme="majorHAnsi" w:hAnsiTheme="majorHAnsi" w:cstheme="majorHAnsi"/>
          <w:lang w:bidi="cs-CZ"/>
        </w:rPr>
        <w:t xml:space="preserve"> v rámci </w:t>
      </w:r>
      <w:r>
        <w:rPr>
          <w:rFonts w:asciiTheme="majorHAnsi" w:hAnsiTheme="majorHAnsi" w:cstheme="majorHAnsi"/>
          <w:lang w:bidi="cs-CZ"/>
        </w:rPr>
        <w:t>svěřených</w:t>
      </w:r>
      <w:r w:rsidRPr="004C142C">
        <w:rPr>
          <w:rFonts w:asciiTheme="majorHAnsi" w:hAnsiTheme="majorHAnsi" w:cstheme="majorHAnsi"/>
          <w:lang w:bidi="cs-CZ"/>
        </w:rPr>
        <w:t xml:space="preserve"> finančních prostředků. Orgány pro rovné zacházení by měly být schopny určit potřebný počet, kvalifikaci a dovednosti svých zaměstnanců, přičemž složení personálu by mělo odrážet různorodost společnosti,</w:t>
      </w:r>
      <w:r w:rsidR="000E7869">
        <w:rPr>
          <w:rFonts w:asciiTheme="majorHAnsi" w:hAnsiTheme="majorHAnsi" w:cstheme="majorHAnsi"/>
          <w:lang w:bidi="cs-CZ"/>
        </w:rPr>
        <w:br/>
      </w:r>
    </w:p>
    <w:p w:rsidR="000E7869" w:rsidRPr="000E7869" w:rsidRDefault="009A7699" w:rsidP="000E786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fyzické zdroje, zejména prostory vhodné pro naplňování </w:t>
      </w:r>
      <w:r>
        <w:rPr>
          <w:rFonts w:asciiTheme="majorHAnsi" w:hAnsiTheme="majorHAnsi" w:cstheme="majorHAnsi"/>
          <w:lang w:bidi="cs-CZ"/>
        </w:rPr>
        <w:t>působnosti</w:t>
      </w:r>
      <w:r w:rsidRPr="004C142C">
        <w:rPr>
          <w:rFonts w:asciiTheme="majorHAnsi" w:hAnsiTheme="majorHAnsi" w:cstheme="majorHAnsi"/>
          <w:lang w:bidi="cs-CZ"/>
        </w:rPr>
        <w:t xml:space="preserve"> tohoto orgánu, které budou pro jeho zaměstnance dostačující a které budou splňovat provozní potřeby, </w:t>
      </w:r>
      <w:r w:rsidR="000E7869">
        <w:rPr>
          <w:rFonts w:asciiTheme="majorHAnsi" w:hAnsiTheme="majorHAnsi" w:cstheme="majorHAnsi"/>
          <w:lang w:bidi="cs-CZ"/>
        </w:rPr>
        <w:br/>
      </w:r>
    </w:p>
    <w:p w:rsidR="009A7699" w:rsidRPr="004C142C" w:rsidRDefault="009A7699" w:rsidP="009A769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obecné pravomoci orgánů pro rovné zacházení, zejména s ohledem na: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diverzity ze strany zaměstnavatelů, poskytovat</w:t>
      </w:r>
      <w:r>
        <w:rPr>
          <w:rFonts w:asciiTheme="majorHAnsi" w:hAnsiTheme="majorHAnsi" w:cstheme="majorHAnsi"/>
          <w:lang w:bidi="cs-CZ"/>
        </w:rPr>
        <w:t>elů služeb a politických představitelů,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zadávání a provádění výzkumu u jakéhokoli tématu, které je pro jeho </w:t>
      </w:r>
      <w:r>
        <w:rPr>
          <w:rFonts w:asciiTheme="majorHAnsi" w:hAnsiTheme="majorHAnsi" w:cstheme="majorHAnsi"/>
          <w:lang w:bidi="cs-CZ"/>
        </w:rPr>
        <w:t>působnost</w:t>
      </w:r>
      <w:r w:rsidRPr="004C142C">
        <w:rPr>
          <w:rFonts w:asciiTheme="majorHAnsi" w:hAnsiTheme="majorHAnsi" w:cstheme="majorHAnsi"/>
          <w:lang w:bidi="cs-CZ"/>
        </w:rPr>
        <w:t xml:space="preserve"> relevantní,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předkládání doporučení zákonodárným sborům a politickým činitelům v oblasti rovného zacházení a zákazu diskriminace,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komunikaci se zainteresovanými subjekty a účastí na politické debatě u témat týkajících se rovného zacházení, diverzity a zákazu diskriminace, 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provádění vyšetřování a šetření v obecných věcech a předkládání doporučení týkajících se nerovného zacházení a diskriminace, zejména strukturální diskriminace,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lastRenderedPageBreak/>
        <w:t>rozporování těch vnitrostátních právních a správních předpisů, které nejsou v souladu s ustanoveními o zákazu diskriminace obsaženými ve směrnicích Evropské unie o rovném zacházení, ve vnitrostátních právních předpisech o rovném zacházení nebo v ústavách jednotlivých států,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mediaci mezi stranami sporu v případě diskriminace, a to vhodným a dohodnutým způsobem,</w:t>
      </w:r>
    </w:p>
    <w:p w:rsidR="000E7869" w:rsidRPr="004C142C" w:rsidRDefault="000E7869" w:rsidP="000E7869">
      <w:pPr>
        <w:pStyle w:val="ListParagraph"/>
        <w:numPr>
          <w:ilvl w:val="1"/>
          <w:numId w:val="39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přezkoumání nebo prošetřování případů diskriminace a zajištění informací od osob, které s</w:t>
      </w:r>
      <w:r>
        <w:rPr>
          <w:rFonts w:asciiTheme="majorHAnsi" w:hAnsiTheme="majorHAnsi" w:cstheme="majorHAnsi"/>
          <w:lang w:bidi="cs-CZ"/>
        </w:rPr>
        <w:t>e údajně dopustily diskriminace;</w:t>
      </w:r>
    </w:p>
    <w:p w:rsidR="0045120E" w:rsidRPr="00EB582D" w:rsidRDefault="0045120E" w:rsidP="003B45E0">
      <w:pPr>
        <w:pStyle w:val="ListParagraph"/>
        <w:spacing w:after="120"/>
        <w:ind w:left="900"/>
        <w:jc w:val="both"/>
        <w:rPr>
          <w:rFonts w:asciiTheme="majorHAnsi" w:hAnsiTheme="majorHAnsi" w:cstheme="majorHAnsi"/>
        </w:rPr>
      </w:pPr>
    </w:p>
    <w:p w:rsidR="000E7869" w:rsidRPr="004C142C" w:rsidRDefault="000E7869" w:rsidP="000E786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konkrétní pravomoci pro výkon funkcí v oblasti podpory, zejména:</w:t>
      </w:r>
    </w:p>
    <w:p w:rsidR="000E7869" w:rsidRPr="004C142C" w:rsidRDefault="000E7869" w:rsidP="000E7869">
      <w:pPr>
        <w:pStyle w:val="ListParagraph"/>
        <w:numPr>
          <w:ilvl w:val="1"/>
          <w:numId w:val="40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poskytování právního poradenství a podpory obětem diskriminace, a v případě potřeby i poskytování osobní a morální podpory,</w:t>
      </w:r>
    </w:p>
    <w:p w:rsidR="000E7869" w:rsidRPr="004C142C" w:rsidRDefault="000E7869" w:rsidP="000E7869">
      <w:pPr>
        <w:pStyle w:val="ListParagraph"/>
        <w:numPr>
          <w:ilvl w:val="1"/>
          <w:numId w:val="40"/>
        </w:numPr>
        <w:spacing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bidi="cs-CZ"/>
        </w:rPr>
        <w:t>zahájení řízení na základě vlastního návrhu</w:t>
      </w:r>
      <w:r w:rsidRPr="004C142C">
        <w:rPr>
          <w:rFonts w:asciiTheme="majorHAnsi" w:hAnsiTheme="majorHAnsi" w:cstheme="majorHAnsi"/>
          <w:lang w:bidi="cs-CZ"/>
        </w:rPr>
        <w:t>, vystupování před soudy a jednání v pozici tzv. amicus curiae,</w:t>
      </w:r>
    </w:p>
    <w:p w:rsidR="000E7869" w:rsidRPr="004C142C" w:rsidRDefault="000E7869" w:rsidP="000E7869">
      <w:pPr>
        <w:pStyle w:val="ListParagraph"/>
        <w:numPr>
          <w:ilvl w:val="1"/>
          <w:numId w:val="40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podpora a monitoring dodržování povinností orgánů veřejné moci v oblasti rovného zacházení při výkonu jejich funkcí a podpora a monitoring plánování a systematického přístupu k otázkám rovného zacházení a zákazu diskriminace ze strany soukromoprávních společností a organizací občanské společnos</w:t>
      </w:r>
      <w:r>
        <w:rPr>
          <w:rFonts w:asciiTheme="majorHAnsi" w:hAnsiTheme="majorHAnsi" w:cstheme="majorHAnsi"/>
          <w:lang w:bidi="cs-CZ"/>
        </w:rPr>
        <w:t>ti;</w:t>
      </w:r>
    </w:p>
    <w:p w:rsidR="0045120E" w:rsidRPr="00EB582D" w:rsidRDefault="0045120E" w:rsidP="003B45E0">
      <w:pPr>
        <w:pStyle w:val="ListParagraph"/>
        <w:spacing w:after="120"/>
        <w:ind w:left="887"/>
        <w:jc w:val="both"/>
        <w:rPr>
          <w:rFonts w:asciiTheme="majorHAnsi" w:hAnsiTheme="majorHAnsi" w:cstheme="majorHAnsi"/>
        </w:rPr>
      </w:pPr>
    </w:p>
    <w:p w:rsidR="00F2557F" w:rsidRPr="00EB582D" w:rsidRDefault="000E7869" w:rsidP="000E786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</w:rPr>
      </w:pPr>
      <w:r w:rsidRPr="004C142C">
        <w:rPr>
          <w:rFonts w:asciiTheme="majorHAnsi" w:hAnsiTheme="majorHAnsi" w:cstheme="majorHAnsi"/>
          <w:lang w:bidi="cs-CZ"/>
        </w:rPr>
        <w:t>konkrétní pravomoci pro výkon funkcí v soudní oblasti, zejména:</w:t>
      </w:r>
    </w:p>
    <w:p w:rsidR="000E7869" w:rsidRPr="004C142C" w:rsidRDefault="000E7869" w:rsidP="000E7869">
      <w:pPr>
        <w:pStyle w:val="ListParagraph"/>
        <w:numPr>
          <w:ilvl w:val="1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zjišťování skutkového stavu v případech diskriminace,</w:t>
      </w:r>
    </w:p>
    <w:p w:rsidR="000E7869" w:rsidRPr="004C142C" w:rsidRDefault="000E7869" w:rsidP="000E7869">
      <w:pPr>
        <w:pStyle w:val="ListParagraph"/>
        <w:numPr>
          <w:ilvl w:val="1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uplatňování sankcí a náhrady škody, které budou přiměřené, účinné a odrazující,</w:t>
      </w:r>
    </w:p>
    <w:p w:rsidR="000E7869" w:rsidRPr="004C142C" w:rsidRDefault="000E7869" w:rsidP="000E7869">
      <w:pPr>
        <w:pStyle w:val="ListParagraph"/>
        <w:numPr>
          <w:ilvl w:val="1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přijímání právně závazných rozhodnutí v případech diskriminace,</w:t>
      </w:r>
    </w:p>
    <w:p w:rsidR="000E7869" w:rsidRPr="004C142C" w:rsidRDefault="000E7869" w:rsidP="000E7869">
      <w:pPr>
        <w:pStyle w:val="ListParagraph"/>
        <w:numPr>
          <w:ilvl w:val="1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udílení pokynům osobám, které se dopustily diskriminace, ohledně dalšího postupu v případě diskriminace, k níž došlo, a za účelem prevence dalších takových případů v budoucnu,</w:t>
      </w:r>
    </w:p>
    <w:p w:rsidR="000E7869" w:rsidRPr="004C142C" w:rsidRDefault="000E7869" w:rsidP="000E7869">
      <w:pPr>
        <w:pStyle w:val="ListParagraph"/>
        <w:numPr>
          <w:ilvl w:val="1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následný monitoring, který má zajistit, že jsou přijatá rozhodnutí pro</w:t>
      </w:r>
      <w:r>
        <w:rPr>
          <w:rFonts w:asciiTheme="majorHAnsi" w:hAnsiTheme="majorHAnsi" w:cstheme="majorHAnsi"/>
          <w:lang w:bidi="cs-CZ"/>
        </w:rPr>
        <w:t>váděna;</w:t>
      </w:r>
    </w:p>
    <w:p w:rsidR="0045120E" w:rsidRPr="00EB582D" w:rsidRDefault="0045120E" w:rsidP="003B45E0">
      <w:pPr>
        <w:pStyle w:val="ListParagraph"/>
        <w:spacing w:after="120"/>
        <w:ind w:left="900"/>
        <w:jc w:val="both"/>
        <w:rPr>
          <w:rFonts w:asciiTheme="majorHAnsi" w:hAnsiTheme="majorHAnsi" w:cstheme="majorHAnsi"/>
        </w:rPr>
      </w:pPr>
    </w:p>
    <w:p w:rsidR="000E7869" w:rsidRPr="004C142C" w:rsidRDefault="000E7869" w:rsidP="000E7869">
      <w:pPr>
        <w:pStyle w:val="ListParagraph"/>
        <w:numPr>
          <w:ilvl w:val="0"/>
          <w:numId w:val="38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rozšíření </w:t>
      </w:r>
      <w:r>
        <w:rPr>
          <w:rFonts w:asciiTheme="majorHAnsi" w:hAnsiTheme="majorHAnsi" w:cstheme="majorHAnsi"/>
          <w:lang w:bidi="cs-CZ"/>
        </w:rPr>
        <w:t>působnosti</w:t>
      </w:r>
      <w:r w:rsidRPr="004C142C">
        <w:rPr>
          <w:rFonts w:asciiTheme="majorHAnsi" w:hAnsiTheme="majorHAnsi" w:cstheme="majorHAnsi"/>
          <w:lang w:bidi="cs-CZ"/>
        </w:rPr>
        <w:t xml:space="preserve"> orgánů pro rovné zacházení na základě nové vnitrostátní legislativy, směrnic Evropské unie nebo mezinárodních dokumentů by mělo odpovídat </w:t>
      </w:r>
      <w:r>
        <w:rPr>
          <w:rFonts w:asciiTheme="majorHAnsi" w:hAnsiTheme="majorHAnsi" w:cstheme="majorHAnsi"/>
          <w:lang w:bidi="cs-CZ"/>
        </w:rPr>
        <w:t>původní působnosti</w:t>
      </w:r>
      <w:r w:rsidRPr="004C142C">
        <w:rPr>
          <w:rFonts w:asciiTheme="majorHAnsi" w:hAnsiTheme="majorHAnsi" w:cstheme="majorHAnsi"/>
          <w:lang w:bidi="cs-CZ"/>
        </w:rPr>
        <w:t xml:space="preserve"> tohoto orgánu a jeho součástí by mělo být dostatečné množství dalších zdrojů pro výkon takto </w:t>
      </w:r>
      <w:r>
        <w:rPr>
          <w:rFonts w:asciiTheme="majorHAnsi" w:hAnsiTheme="majorHAnsi" w:cstheme="majorHAnsi"/>
          <w:lang w:bidi="cs-CZ"/>
        </w:rPr>
        <w:t>rozšířené působnosti</w:t>
      </w:r>
      <w:r w:rsidRPr="004C142C">
        <w:rPr>
          <w:rFonts w:asciiTheme="majorHAnsi" w:hAnsiTheme="majorHAnsi" w:cstheme="majorHAnsi"/>
          <w:lang w:bidi="cs-CZ"/>
        </w:rPr>
        <w:t>.</w:t>
      </w:r>
    </w:p>
    <w:p w:rsidR="00566406" w:rsidRPr="00EB582D" w:rsidRDefault="00566406" w:rsidP="003B45E0">
      <w:pPr>
        <w:pStyle w:val="ListParagraph"/>
        <w:spacing w:after="120"/>
        <w:ind w:left="360"/>
        <w:jc w:val="both"/>
        <w:rPr>
          <w:rFonts w:asciiTheme="majorHAnsi" w:hAnsiTheme="majorHAnsi" w:cstheme="majorHAnsi"/>
        </w:rPr>
      </w:pPr>
    </w:p>
    <w:p w:rsidR="00F04728" w:rsidRDefault="00F04728" w:rsidP="00F04728">
      <w:pPr>
        <w:pStyle w:val="ListParagraph"/>
        <w:spacing w:after="120"/>
        <w:jc w:val="both"/>
        <w:rPr>
          <w:rFonts w:asciiTheme="majorHAnsi" w:hAnsiTheme="majorHAnsi" w:cstheme="majorHAnsi"/>
          <w:b/>
        </w:rPr>
      </w:pPr>
    </w:p>
    <w:p w:rsidR="00470986" w:rsidRDefault="00470986" w:rsidP="00F04728">
      <w:pPr>
        <w:pStyle w:val="ListParagraph"/>
        <w:spacing w:after="120"/>
        <w:jc w:val="both"/>
        <w:rPr>
          <w:rFonts w:asciiTheme="majorHAnsi" w:hAnsiTheme="majorHAnsi" w:cstheme="majorHAnsi"/>
          <w:b/>
        </w:rPr>
      </w:pPr>
    </w:p>
    <w:p w:rsidR="00470986" w:rsidRPr="004C142C" w:rsidRDefault="00470986" w:rsidP="00F04728">
      <w:pPr>
        <w:pStyle w:val="ListParagraph"/>
        <w:spacing w:after="120"/>
        <w:jc w:val="both"/>
        <w:rPr>
          <w:rFonts w:asciiTheme="majorHAnsi" w:hAnsiTheme="majorHAnsi" w:cstheme="majorHAnsi"/>
          <w:b/>
        </w:rPr>
      </w:pPr>
    </w:p>
    <w:p w:rsidR="00A271A9" w:rsidRPr="00566406" w:rsidRDefault="00566406" w:rsidP="00D46356">
      <w:pPr>
        <w:shd w:val="clear" w:color="auto" w:fill="002060"/>
        <w:spacing w:after="120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66406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lastRenderedPageBreak/>
        <w:t xml:space="preserve">4. </w:t>
      </w:r>
      <w:r w:rsidR="000E7869" w:rsidRPr="000E7869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INSTITUCIONÁLNÍ RÁMEC</w:t>
      </w:r>
    </w:p>
    <w:p w:rsidR="00F31C8A" w:rsidRPr="00566406" w:rsidRDefault="000E7869" w:rsidP="00F04728">
      <w:pPr>
        <w:spacing w:after="120"/>
        <w:jc w:val="both"/>
        <w:rPr>
          <w:rFonts w:asciiTheme="majorHAnsi" w:hAnsiTheme="majorHAnsi" w:cstheme="majorHAnsi"/>
          <w:b/>
          <w:color w:val="002060"/>
        </w:rPr>
      </w:pPr>
      <w:r w:rsidRPr="000E7869">
        <w:rPr>
          <w:rFonts w:asciiTheme="majorHAnsi" w:hAnsiTheme="majorHAnsi" w:cstheme="majorHAnsi"/>
          <w:b/>
          <w:color w:val="002060"/>
        </w:rPr>
        <w:t>STANDARDY musí upravovat a zajistit:</w:t>
      </w:r>
    </w:p>
    <w:p w:rsidR="000E7869" w:rsidRPr="004C142C" w:rsidRDefault="000E7869" w:rsidP="000E7869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pokud jsou pro jednotlivé </w:t>
      </w:r>
      <w:r>
        <w:rPr>
          <w:rFonts w:asciiTheme="majorHAnsi" w:hAnsiTheme="majorHAnsi" w:cstheme="majorHAnsi"/>
          <w:lang w:bidi="cs-CZ"/>
        </w:rPr>
        <w:t>diskriminační důvody</w:t>
      </w:r>
      <w:r w:rsidRPr="004C142C">
        <w:rPr>
          <w:rFonts w:asciiTheme="majorHAnsi" w:hAnsiTheme="majorHAnsi" w:cstheme="majorHAnsi"/>
          <w:lang w:bidi="cs-CZ"/>
        </w:rPr>
        <w:t xml:space="preserve"> zřízeny samostatné orgány pro rovné zacházení, měly by být vytvořeny vzájemné vazby, které zajistí jednotné uplatňování zákazu diskriminace a rovného zacházení a umožní naplnění potřeb osob, jejichž záležitost spadá do pravomoci více orgánů, </w:t>
      </w:r>
    </w:p>
    <w:p w:rsidR="00566406" w:rsidRPr="00FC42C9" w:rsidRDefault="00566406" w:rsidP="003B45E0">
      <w:pPr>
        <w:pStyle w:val="ListParagraph"/>
        <w:spacing w:after="120"/>
        <w:ind w:left="360"/>
        <w:jc w:val="both"/>
        <w:rPr>
          <w:rFonts w:asciiTheme="majorHAnsi" w:hAnsiTheme="majorHAnsi" w:cstheme="majorHAnsi"/>
        </w:rPr>
      </w:pPr>
    </w:p>
    <w:p w:rsidR="00566406" w:rsidRPr="000E7869" w:rsidRDefault="000E7869" w:rsidP="000E7869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celkový vnitrostátní institucionální rámec by měl zahrnovat výkon funkcí v oblasti soudního řízení i v oblasti podpory,</w:t>
      </w:r>
      <w:r w:rsidR="00566406" w:rsidRPr="000E7869">
        <w:rPr>
          <w:rFonts w:asciiTheme="majorHAnsi" w:hAnsiTheme="majorHAnsi" w:cstheme="majorHAnsi"/>
        </w:rPr>
        <w:br/>
      </w:r>
    </w:p>
    <w:p w:rsidR="000E7869" w:rsidRPr="004C142C" w:rsidRDefault="000E7869" w:rsidP="000E7869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pokud je </w:t>
      </w:r>
      <w:r>
        <w:rPr>
          <w:rFonts w:asciiTheme="majorHAnsi" w:hAnsiTheme="majorHAnsi" w:cstheme="majorHAnsi"/>
          <w:lang w:bidi="cs-CZ"/>
        </w:rPr>
        <w:t>působnost</w:t>
      </w:r>
      <w:r w:rsidRPr="004C142C">
        <w:rPr>
          <w:rFonts w:asciiTheme="majorHAnsi" w:hAnsiTheme="majorHAnsi" w:cstheme="majorHAnsi"/>
          <w:lang w:bidi="cs-CZ"/>
        </w:rPr>
        <w:t xml:space="preserve"> orgánů pro rovné zacházení totožn</w:t>
      </w:r>
      <w:r>
        <w:rPr>
          <w:rFonts w:asciiTheme="majorHAnsi" w:hAnsiTheme="majorHAnsi" w:cstheme="majorHAnsi"/>
          <w:lang w:bidi="cs-CZ"/>
        </w:rPr>
        <w:t xml:space="preserve">á </w:t>
      </w:r>
      <w:r w:rsidRPr="004C142C">
        <w:rPr>
          <w:rFonts w:asciiTheme="majorHAnsi" w:hAnsiTheme="majorHAnsi" w:cstheme="majorHAnsi"/>
          <w:lang w:bidi="cs-CZ"/>
        </w:rPr>
        <w:t>např. s vnitrostátními institucemi pro ochranu lidských práv nebo s</w:t>
      </w:r>
      <w:r>
        <w:rPr>
          <w:rFonts w:asciiTheme="majorHAnsi" w:hAnsiTheme="majorHAnsi" w:cstheme="majorHAnsi"/>
          <w:lang w:bidi="cs-CZ"/>
        </w:rPr>
        <w:t> veřejnými ochránci práv</w:t>
      </w:r>
      <w:r w:rsidRPr="004C142C">
        <w:rPr>
          <w:rFonts w:asciiTheme="majorHAnsi" w:hAnsiTheme="majorHAnsi" w:cstheme="majorHAnsi"/>
          <w:lang w:bidi="cs-CZ"/>
        </w:rPr>
        <w:t>, musí:</w:t>
      </w:r>
    </w:p>
    <w:p w:rsidR="000E7869" w:rsidRPr="004C142C" w:rsidRDefault="000E7869" w:rsidP="000E786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pro všechny </w:t>
      </w:r>
      <w:r>
        <w:rPr>
          <w:rFonts w:asciiTheme="majorHAnsi" w:hAnsiTheme="majorHAnsi" w:cstheme="majorHAnsi"/>
          <w:lang w:bidi="cs-CZ"/>
        </w:rPr>
        <w:t xml:space="preserve">části této působnosti </w:t>
      </w:r>
      <w:r w:rsidRPr="004C142C">
        <w:rPr>
          <w:rFonts w:asciiTheme="majorHAnsi" w:hAnsiTheme="majorHAnsi" w:cstheme="majorHAnsi"/>
          <w:lang w:bidi="cs-CZ"/>
        </w:rPr>
        <w:t>existovat jednotný právní základ a pravomoci,</w:t>
      </w:r>
    </w:p>
    <w:p w:rsidR="000E7869" w:rsidRPr="004C142C" w:rsidRDefault="000E7869" w:rsidP="000E786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mít dostatečné prostředky pro výkon všech částí </w:t>
      </w:r>
      <w:r>
        <w:rPr>
          <w:rFonts w:asciiTheme="majorHAnsi" w:hAnsiTheme="majorHAnsi" w:cstheme="majorHAnsi"/>
          <w:lang w:bidi="cs-CZ"/>
        </w:rPr>
        <w:t>této působnosti</w:t>
      </w:r>
      <w:r w:rsidRPr="004C142C">
        <w:rPr>
          <w:rFonts w:asciiTheme="majorHAnsi" w:hAnsiTheme="majorHAnsi" w:cstheme="majorHAnsi"/>
          <w:lang w:bidi="cs-CZ"/>
        </w:rPr>
        <w:t xml:space="preserve"> a pro jejich vhodné rozdělení tak, aby byly vyváženě k dispozici při výkonu všech součástí </w:t>
      </w:r>
      <w:r>
        <w:rPr>
          <w:rFonts w:asciiTheme="majorHAnsi" w:hAnsiTheme="majorHAnsi" w:cstheme="majorHAnsi"/>
          <w:lang w:bidi="cs-CZ"/>
        </w:rPr>
        <w:t>působnosti</w:t>
      </w:r>
      <w:r w:rsidRPr="004C142C">
        <w:rPr>
          <w:rFonts w:asciiTheme="majorHAnsi" w:hAnsiTheme="majorHAnsi" w:cstheme="majorHAnsi"/>
          <w:lang w:bidi="cs-CZ"/>
        </w:rPr>
        <w:t>,</w:t>
      </w:r>
    </w:p>
    <w:p w:rsidR="000E7869" w:rsidRPr="004C142C" w:rsidRDefault="000E7869" w:rsidP="000E786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mít vnitřní strukturu, která bude schopná zajistit vyvážený výkon všech součástí </w:t>
      </w:r>
      <w:r>
        <w:rPr>
          <w:rFonts w:asciiTheme="majorHAnsi" w:hAnsiTheme="majorHAnsi" w:cstheme="majorHAnsi"/>
          <w:lang w:bidi="cs-CZ"/>
        </w:rPr>
        <w:t>působnosti</w:t>
      </w:r>
      <w:r w:rsidRPr="004C142C">
        <w:rPr>
          <w:rFonts w:asciiTheme="majorHAnsi" w:hAnsiTheme="majorHAnsi" w:cstheme="majorHAnsi"/>
          <w:lang w:bidi="cs-CZ"/>
        </w:rPr>
        <w:t xml:space="preserve">, </w:t>
      </w:r>
    </w:p>
    <w:p w:rsidR="000E7869" w:rsidRPr="004C142C" w:rsidRDefault="000E7869" w:rsidP="000E786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mít schopnost rozvíjet integrovaný přístup ke všem součástem </w:t>
      </w:r>
      <w:r>
        <w:rPr>
          <w:rFonts w:asciiTheme="majorHAnsi" w:hAnsiTheme="majorHAnsi" w:cstheme="majorHAnsi"/>
          <w:lang w:bidi="cs-CZ"/>
        </w:rPr>
        <w:t>působnosti</w:t>
      </w:r>
      <w:r w:rsidRPr="004C142C">
        <w:rPr>
          <w:rFonts w:asciiTheme="majorHAnsi" w:hAnsiTheme="majorHAnsi" w:cstheme="majorHAnsi"/>
          <w:lang w:bidi="cs-CZ"/>
        </w:rPr>
        <w:t xml:space="preserve"> v rozsahu, který je možný a přiměřený,</w:t>
      </w:r>
    </w:p>
    <w:p w:rsidR="000E7869" w:rsidRPr="004C142C" w:rsidRDefault="000E7869" w:rsidP="000E7869">
      <w:pPr>
        <w:pStyle w:val="ListParagraph"/>
        <w:numPr>
          <w:ilvl w:val="0"/>
          <w:numId w:val="4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jejich zaměstnanci mít znalosti a dovednosti v různých oblastech a oborech,</w:t>
      </w:r>
    </w:p>
    <w:p w:rsidR="00566406" w:rsidRPr="00FC42C9" w:rsidRDefault="00566406" w:rsidP="003B45E0">
      <w:pPr>
        <w:pStyle w:val="ListParagraph"/>
        <w:spacing w:after="120"/>
        <w:ind w:left="1080"/>
        <w:jc w:val="both"/>
        <w:rPr>
          <w:rFonts w:asciiTheme="majorHAnsi" w:hAnsiTheme="majorHAnsi" w:cstheme="majorHAnsi"/>
        </w:rPr>
      </w:pPr>
    </w:p>
    <w:p w:rsidR="000E7869" w:rsidRPr="004C142C" w:rsidRDefault="000E7869" w:rsidP="000E7869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 xml:space="preserve">orgány pro rovné zacházení by měly představovat první </w:t>
      </w:r>
      <w:r>
        <w:rPr>
          <w:rFonts w:asciiTheme="majorHAnsi" w:hAnsiTheme="majorHAnsi" w:cstheme="majorHAnsi"/>
          <w:lang w:bidi="cs-CZ"/>
        </w:rPr>
        <w:t>místo</w:t>
      </w:r>
      <w:r w:rsidRPr="004C142C">
        <w:rPr>
          <w:rFonts w:asciiTheme="majorHAnsi" w:hAnsiTheme="majorHAnsi" w:cstheme="majorHAnsi"/>
          <w:lang w:bidi="cs-CZ"/>
        </w:rPr>
        <w:t xml:space="preserve"> pro osoby, které hodlají uplatnit nárok v oblasti diskriminace v rámci struktury zajišťující přístup k právní ochraně, která je dostupná a jednotná. Měly by mít pravomoci a prostředky, které umožní těmto osobám orientaci v rámci celé struktury přístupu k právní ochraně a zajistí podporu ve všech jejích stádiích, a dále umožní tuto strukturu </w:t>
      </w:r>
      <w:r>
        <w:rPr>
          <w:rFonts w:asciiTheme="majorHAnsi" w:hAnsiTheme="majorHAnsi" w:cstheme="majorHAnsi"/>
          <w:lang w:bidi="cs-CZ"/>
        </w:rPr>
        <w:t>hodnotit</w:t>
      </w:r>
      <w:r w:rsidRPr="004C142C">
        <w:rPr>
          <w:rFonts w:asciiTheme="majorHAnsi" w:hAnsiTheme="majorHAnsi" w:cstheme="majorHAnsi"/>
          <w:lang w:bidi="cs-CZ"/>
        </w:rPr>
        <w:t xml:space="preserve"> a předkládat doporučení pro zajištění přístupu k právní ochraně,</w:t>
      </w:r>
    </w:p>
    <w:p w:rsidR="00566406" w:rsidRPr="00FC42C9" w:rsidRDefault="00566406" w:rsidP="003B45E0">
      <w:pPr>
        <w:pStyle w:val="ListParagraph"/>
        <w:spacing w:after="120"/>
        <w:ind w:left="360"/>
        <w:jc w:val="both"/>
        <w:rPr>
          <w:rFonts w:asciiTheme="majorHAnsi" w:hAnsiTheme="majorHAnsi" w:cstheme="majorHAnsi"/>
        </w:rPr>
      </w:pPr>
    </w:p>
    <w:p w:rsidR="000E7869" w:rsidRPr="00CD6050" w:rsidRDefault="000E7869" w:rsidP="000E7869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 w:cstheme="majorHAnsi"/>
          <w:b/>
        </w:rPr>
      </w:pPr>
      <w:r w:rsidRPr="004C142C">
        <w:rPr>
          <w:rFonts w:asciiTheme="majorHAnsi" w:hAnsiTheme="majorHAnsi" w:cstheme="majorHAnsi"/>
          <w:lang w:bidi="cs-CZ"/>
        </w:rPr>
        <w:t>orgány pro rovné zacházení by měly mít možnost zastávat v rá</w:t>
      </w:r>
      <w:r>
        <w:rPr>
          <w:rFonts w:asciiTheme="majorHAnsi" w:hAnsiTheme="majorHAnsi" w:cstheme="majorHAnsi"/>
          <w:lang w:bidi="cs-CZ"/>
        </w:rPr>
        <w:t>mci širší infrastruktury vůdčí</w:t>
      </w:r>
      <w:r w:rsidRPr="004C142C">
        <w:rPr>
          <w:rFonts w:asciiTheme="majorHAnsi" w:hAnsiTheme="majorHAnsi" w:cstheme="majorHAnsi"/>
          <w:lang w:bidi="cs-CZ"/>
        </w:rPr>
        <w:t xml:space="preserve"> pozici a poskytovat podporu při prosazování rovného zacházení. Měly by mít pravomoci a prostředky na účast ve fórech, výborech a ve strukturách sociálního partnerství založených státem za účelem vytváření a přispívání k veřejným plánům, politikám a programům.  </w:t>
      </w:r>
    </w:p>
    <w:p w:rsidR="00CD6050" w:rsidRDefault="00CD6050" w:rsidP="00CD6050">
      <w:pPr>
        <w:spacing w:after="120"/>
        <w:jc w:val="both"/>
        <w:rPr>
          <w:rFonts w:asciiTheme="majorHAnsi" w:hAnsiTheme="majorHAnsi" w:cstheme="majorHAnsi"/>
          <w:b/>
        </w:rPr>
      </w:pPr>
    </w:p>
    <w:p w:rsidR="00470986" w:rsidRDefault="00470986" w:rsidP="00CD6050">
      <w:pPr>
        <w:spacing w:after="120"/>
        <w:jc w:val="both"/>
        <w:rPr>
          <w:rFonts w:asciiTheme="majorHAnsi" w:hAnsiTheme="majorHAnsi" w:cstheme="majorHAnsi"/>
          <w:b/>
        </w:rPr>
      </w:pPr>
    </w:p>
    <w:p w:rsidR="00FA732D" w:rsidRDefault="000E7869" w:rsidP="00214E5D">
      <w:pPr>
        <w:shd w:val="clear" w:color="auto" w:fill="F2F2F2" w:themeFill="background1" w:themeFillShade="F2"/>
        <w:spacing w:after="120"/>
        <w:jc w:val="both"/>
        <w:rPr>
          <w:rFonts w:asciiTheme="majorHAnsi" w:hAnsiTheme="majorHAnsi" w:cstheme="majorHAnsi"/>
          <w:b/>
        </w:rPr>
      </w:pPr>
      <w:r w:rsidRPr="000E7869">
        <w:rPr>
          <w:rFonts w:asciiTheme="majorHAnsi" w:hAnsiTheme="majorHAnsi" w:cstheme="majorHAnsi"/>
          <w:b/>
        </w:rPr>
        <w:lastRenderedPageBreak/>
        <w:t>Tento Pracovní dokument vychází z diskuzí, které probíhaly v rámci Jednání sítě Equinet na téma standardů, které se uskutečnilo v roce 2015, a z příspěvků a připomínek, které následně poskytli členové této sítě. Vzhledem k tomu, že se jedná o pracovní dokument, může docházet k jeho dalším změnám. Informace obsažené v tomto dokumentu představují stanoviska orgánů pro rovné zacházení a nemusí odrážet pozici nebo názor Evropské komise.</w:t>
      </w:r>
    </w:p>
    <w:p w:rsidR="00FA732D" w:rsidRPr="00FA732D" w:rsidRDefault="00FA732D" w:rsidP="00FA732D">
      <w:pPr>
        <w:rPr>
          <w:rFonts w:asciiTheme="majorHAnsi" w:hAnsiTheme="majorHAnsi" w:cstheme="majorHAnsi"/>
        </w:rPr>
      </w:pPr>
    </w:p>
    <w:p w:rsidR="00CD6050" w:rsidRDefault="00CD6050" w:rsidP="00FA732D">
      <w:pPr>
        <w:shd w:val="clear" w:color="auto" w:fill="FFFFFF" w:themeFill="background1"/>
        <w:autoSpaceDE w:val="0"/>
        <w:autoSpaceDN w:val="0"/>
        <w:adjustRightInd w:val="0"/>
        <w:rPr>
          <w:rFonts w:ascii="Arial Rounded MT Bold" w:hAnsi="Arial Rounded MT Bold" w:cs="Arimo"/>
        </w:rPr>
      </w:pPr>
    </w:p>
    <w:p w:rsidR="000E7869" w:rsidRPr="00EE3746" w:rsidRDefault="000E7869" w:rsidP="00FA732D">
      <w:pPr>
        <w:shd w:val="clear" w:color="auto" w:fill="FFFFFF" w:themeFill="background1"/>
        <w:autoSpaceDE w:val="0"/>
        <w:autoSpaceDN w:val="0"/>
        <w:adjustRightInd w:val="0"/>
        <w:rPr>
          <w:rFonts w:ascii="Arial Rounded MT Bold" w:hAnsi="Arial Rounded MT Bold" w:cs="Arimo"/>
        </w:rPr>
      </w:pPr>
    </w:p>
    <w:sectPr w:rsidR="000E7869" w:rsidRPr="00EE3746" w:rsidSect="00D240B2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2552" w:bottom="1418" w:left="2552" w:header="340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33" w:rsidRDefault="00F55F33">
      <w:r>
        <w:separator/>
      </w:r>
    </w:p>
  </w:endnote>
  <w:endnote w:type="continuationSeparator" w:id="0">
    <w:p w:rsidR="00F55F33" w:rsidRDefault="00F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8" w:rsidRDefault="00F4413B" w:rsidP="000406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B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BC8" w:rsidRDefault="00A03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92786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0B0A8E" w:rsidRPr="000B0A8E" w:rsidRDefault="000B0A8E">
        <w:pPr>
          <w:pStyle w:val="Footer"/>
          <w:jc w:val="right"/>
          <w:rPr>
            <w:rFonts w:asciiTheme="majorHAnsi" w:hAnsiTheme="majorHAnsi" w:cstheme="majorHAnsi"/>
          </w:rPr>
        </w:pPr>
        <w:r w:rsidRPr="000B0A8E">
          <w:rPr>
            <w:rFonts w:asciiTheme="majorHAnsi" w:hAnsiTheme="majorHAnsi" w:cstheme="majorHAnsi"/>
          </w:rPr>
          <w:fldChar w:fldCharType="begin"/>
        </w:r>
        <w:r w:rsidRPr="000B0A8E">
          <w:rPr>
            <w:rFonts w:asciiTheme="majorHAnsi" w:hAnsiTheme="majorHAnsi" w:cstheme="majorHAnsi"/>
          </w:rPr>
          <w:instrText xml:space="preserve"> PAGE   \* MERGEFORMAT </w:instrText>
        </w:r>
        <w:r w:rsidRPr="000B0A8E">
          <w:rPr>
            <w:rFonts w:asciiTheme="majorHAnsi" w:hAnsiTheme="majorHAnsi" w:cstheme="majorHAnsi"/>
          </w:rPr>
          <w:fldChar w:fldCharType="separate"/>
        </w:r>
        <w:r w:rsidR="002C47B6">
          <w:rPr>
            <w:rFonts w:asciiTheme="majorHAnsi" w:hAnsiTheme="majorHAnsi" w:cstheme="majorHAnsi"/>
            <w:noProof/>
          </w:rPr>
          <w:t>1</w:t>
        </w:r>
        <w:r w:rsidRPr="000B0A8E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A03BC8" w:rsidRDefault="00A03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33" w:rsidRDefault="00F55F33">
      <w:r>
        <w:separator/>
      </w:r>
    </w:p>
  </w:footnote>
  <w:footnote w:type="continuationSeparator" w:id="0">
    <w:p w:rsidR="00F55F33" w:rsidRDefault="00F55F33">
      <w:r>
        <w:continuationSeparator/>
      </w:r>
    </w:p>
  </w:footnote>
  <w:footnote w:id="1">
    <w:p w:rsidR="00BD60A4" w:rsidRPr="004C142C" w:rsidRDefault="00BD60A4" w:rsidP="00BD60A4">
      <w:pPr>
        <w:pStyle w:val="FootnoteText"/>
        <w:rPr>
          <w:rFonts w:asciiTheme="majorHAnsi" w:hAnsiTheme="majorHAnsi" w:cstheme="majorHAnsi"/>
          <w:sz w:val="20"/>
          <w:lang w:val="fr-BE"/>
        </w:rPr>
      </w:pPr>
      <w:r w:rsidRPr="004C142C">
        <w:rPr>
          <w:rStyle w:val="FootnoteReference"/>
          <w:rFonts w:asciiTheme="majorHAnsi" w:hAnsiTheme="majorHAnsi" w:cstheme="majorHAnsi"/>
          <w:sz w:val="20"/>
          <w:lang w:bidi="cs-CZ"/>
        </w:rPr>
        <w:footnoteRef/>
      </w:r>
      <w:r w:rsidRPr="004C142C">
        <w:rPr>
          <w:rFonts w:asciiTheme="majorHAnsi" w:hAnsiTheme="majorHAnsi" w:cstheme="majorHAnsi"/>
          <w:sz w:val="20"/>
          <w:lang w:bidi="cs-CZ"/>
        </w:rPr>
        <w:t xml:space="preserve"> Směrnice 2000/43/ES, Směrnice 2004/113/ES, Směrnice 2006/54/ES, Směrnice 2010/41/EU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A6" w:rsidRDefault="00B57EA6" w:rsidP="00B57EA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A1" w:rsidRDefault="002725A1" w:rsidP="00B57E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181"/>
    <w:multiLevelType w:val="hybridMultilevel"/>
    <w:tmpl w:val="F42C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B20"/>
    <w:multiLevelType w:val="hybridMultilevel"/>
    <w:tmpl w:val="9B4061FC"/>
    <w:lvl w:ilvl="0" w:tplc="0409001B">
      <w:start w:val="1"/>
      <w:numFmt w:val="low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8B524E6E">
      <w:start w:val="1"/>
      <w:numFmt w:val="lowerRoman"/>
      <w:lvlText w:val="%3."/>
      <w:lvlJc w:val="right"/>
      <w:pPr>
        <w:ind w:left="1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>
    <w:nsid w:val="04567D6A"/>
    <w:multiLevelType w:val="hybridMultilevel"/>
    <w:tmpl w:val="A6EC30E2"/>
    <w:lvl w:ilvl="0" w:tplc="A49CA0C4">
      <w:start w:val="1"/>
      <w:numFmt w:val="lowerLetter"/>
      <w:lvlText w:val="%1."/>
      <w:lvlJc w:val="left"/>
      <w:pPr>
        <w:ind w:left="360" w:hanging="360"/>
      </w:pPr>
      <w:rPr>
        <w:color w:val="002060"/>
      </w:rPr>
    </w:lvl>
    <w:lvl w:ilvl="1" w:tplc="AE046968">
      <w:start w:val="1"/>
      <w:numFmt w:val="lowerRoman"/>
      <w:lvlText w:val="%2."/>
      <w:lvlJc w:val="right"/>
      <w:pPr>
        <w:ind w:left="1080" w:hanging="360"/>
      </w:pPr>
      <w:rPr>
        <w:b/>
        <w:color w:val="auto"/>
      </w:rPr>
    </w:lvl>
    <w:lvl w:ilvl="2" w:tplc="E2067EB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E14C8"/>
    <w:multiLevelType w:val="hybridMultilevel"/>
    <w:tmpl w:val="D5FA8752"/>
    <w:lvl w:ilvl="0" w:tplc="6EE0EA3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5F5861"/>
    <w:multiLevelType w:val="hybridMultilevel"/>
    <w:tmpl w:val="B618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7A35"/>
    <w:multiLevelType w:val="hybridMultilevel"/>
    <w:tmpl w:val="332A440A"/>
    <w:lvl w:ilvl="0" w:tplc="B1DE4368">
      <w:start w:val="1"/>
      <w:numFmt w:val="lowerLetter"/>
      <w:lvlText w:val="%1."/>
      <w:lvlJc w:val="left"/>
      <w:pPr>
        <w:ind w:left="72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375"/>
    <w:multiLevelType w:val="hybridMultilevel"/>
    <w:tmpl w:val="4EEE5F5C"/>
    <w:lvl w:ilvl="0" w:tplc="6EE0EA3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37689E"/>
    <w:multiLevelType w:val="hybridMultilevel"/>
    <w:tmpl w:val="64F6ADEA"/>
    <w:lvl w:ilvl="0" w:tplc="A49CA0C4">
      <w:start w:val="1"/>
      <w:numFmt w:val="lowerLetter"/>
      <w:lvlText w:val="%1."/>
      <w:lvlJc w:val="left"/>
      <w:pPr>
        <w:ind w:left="360" w:hanging="360"/>
      </w:pPr>
      <w:rPr>
        <w:color w:val="002060"/>
      </w:rPr>
    </w:lvl>
    <w:lvl w:ilvl="1" w:tplc="9D707A60">
      <w:start w:val="1"/>
      <w:numFmt w:val="lowerRoman"/>
      <w:lvlText w:val="%2."/>
      <w:lvlJc w:val="right"/>
      <w:pPr>
        <w:ind w:left="1080" w:hanging="360"/>
      </w:pPr>
      <w:rPr>
        <w:b/>
        <w:color w:val="auto"/>
      </w:rPr>
    </w:lvl>
    <w:lvl w:ilvl="2" w:tplc="E2067EB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85183"/>
    <w:multiLevelType w:val="hybridMultilevel"/>
    <w:tmpl w:val="A83A5C72"/>
    <w:lvl w:ilvl="0" w:tplc="6EE0EA3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D746F"/>
    <w:multiLevelType w:val="hybridMultilevel"/>
    <w:tmpl w:val="2FD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D601B"/>
    <w:multiLevelType w:val="hybridMultilevel"/>
    <w:tmpl w:val="9006AE88"/>
    <w:lvl w:ilvl="0" w:tplc="83E43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59B"/>
    <w:multiLevelType w:val="hybridMultilevel"/>
    <w:tmpl w:val="9920F208"/>
    <w:lvl w:ilvl="0" w:tplc="C01A4AE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469A3"/>
    <w:multiLevelType w:val="hybridMultilevel"/>
    <w:tmpl w:val="E2D2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7E8"/>
    <w:multiLevelType w:val="hybridMultilevel"/>
    <w:tmpl w:val="92A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3498E"/>
    <w:multiLevelType w:val="hybridMultilevel"/>
    <w:tmpl w:val="FFA8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41A74"/>
    <w:multiLevelType w:val="hybridMultilevel"/>
    <w:tmpl w:val="05669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23B01"/>
    <w:multiLevelType w:val="hybridMultilevel"/>
    <w:tmpl w:val="F6A6E444"/>
    <w:lvl w:ilvl="0" w:tplc="BE1A636A">
      <w:start w:val="1"/>
      <w:numFmt w:val="lowerLetter"/>
      <w:lvlText w:val="%1."/>
      <w:lvlJc w:val="left"/>
      <w:pPr>
        <w:ind w:left="360" w:hanging="360"/>
      </w:pPr>
      <w:rPr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26136D"/>
    <w:multiLevelType w:val="hybridMultilevel"/>
    <w:tmpl w:val="C2F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F4FFD"/>
    <w:multiLevelType w:val="hybridMultilevel"/>
    <w:tmpl w:val="B35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76D1"/>
    <w:multiLevelType w:val="hybridMultilevel"/>
    <w:tmpl w:val="224650F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6D108402">
      <w:start w:val="1"/>
      <w:numFmt w:val="lowerLetter"/>
      <w:lvlText w:val="%2."/>
      <w:lvlJc w:val="left"/>
      <w:pPr>
        <w:ind w:left="1080" w:hanging="360"/>
      </w:pPr>
      <w:rPr>
        <w:b/>
        <w:color w:val="002060"/>
      </w:rPr>
    </w:lvl>
    <w:lvl w:ilvl="2" w:tplc="E2067EB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511CD"/>
    <w:multiLevelType w:val="hybridMultilevel"/>
    <w:tmpl w:val="332A440A"/>
    <w:lvl w:ilvl="0" w:tplc="B1DE4368">
      <w:start w:val="1"/>
      <w:numFmt w:val="lowerLetter"/>
      <w:lvlText w:val="%1."/>
      <w:lvlJc w:val="left"/>
      <w:pPr>
        <w:ind w:left="72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6510A"/>
    <w:multiLevelType w:val="hybridMultilevel"/>
    <w:tmpl w:val="4CCA33C8"/>
    <w:lvl w:ilvl="0" w:tplc="EFB6C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977992"/>
    <w:multiLevelType w:val="hybridMultilevel"/>
    <w:tmpl w:val="34A4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9475D7"/>
    <w:multiLevelType w:val="hybridMultilevel"/>
    <w:tmpl w:val="36B2C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E049BA"/>
    <w:multiLevelType w:val="hybridMultilevel"/>
    <w:tmpl w:val="9D2AED4E"/>
    <w:lvl w:ilvl="0" w:tplc="BE1A636A">
      <w:start w:val="1"/>
      <w:numFmt w:val="lowerLetter"/>
      <w:lvlText w:val="%1."/>
      <w:lvlJc w:val="left"/>
      <w:pPr>
        <w:ind w:left="360" w:hanging="360"/>
      </w:pPr>
      <w:rPr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6D5C73"/>
    <w:multiLevelType w:val="hybridMultilevel"/>
    <w:tmpl w:val="332A440A"/>
    <w:lvl w:ilvl="0" w:tplc="B1DE4368">
      <w:start w:val="1"/>
      <w:numFmt w:val="lowerLetter"/>
      <w:lvlText w:val="%1."/>
      <w:lvlJc w:val="left"/>
      <w:pPr>
        <w:ind w:left="36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F06784"/>
    <w:multiLevelType w:val="hybridMultilevel"/>
    <w:tmpl w:val="F59AB182"/>
    <w:lvl w:ilvl="0" w:tplc="00005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53CF2"/>
    <w:multiLevelType w:val="hybridMultilevel"/>
    <w:tmpl w:val="4F909BB4"/>
    <w:lvl w:ilvl="0" w:tplc="15C45852">
      <w:start w:val="1"/>
      <w:numFmt w:val="lowerLetter"/>
      <w:lvlText w:val="%1."/>
      <w:lvlJc w:val="left"/>
      <w:pPr>
        <w:ind w:left="360" w:hanging="360"/>
      </w:pPr>
      <w:rPr>
        <w:b/>
        <w:color w:val="002060"/>
      </w:rPr>
    </w:lvl>
    <w:lvl w:ilvl="1" w:tplc="C17AE228">
      <w:start w:val="1"/>
      <w:numFmt w:val="lowerRoman"/>
      <w:lvlText w:val="%2."/>
      <w:lvlJc w:val="left"/>
      <w:pPr>
        <w:ind w:left="108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0118CA"/>
    <w:multiLevelType w:val="hybridMultilevel"/>
    <w:tmpl w:val="92A09D7A"/>
    <w:lvl w:ilvl="0" w:tplc="B08A1F3C">
      <w:start w:val="1"/>
      <w:numFmt w:val="lowerLetter"/>
      <w:lvlText w:val="%1."/>
      <w:lvlJc w:val="left"/>
      <w:pPr>
        <w:ind w:left="360" w:hanging="360"/>
      </w:pPr>
      <w:rPr>
        <w:b/>
        <w:color w:val="00206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/>
        <w:color w:val="002060"/>
      </w:rPr>
    </w:lvl>
    <w:lvl w:ilvl="2" w:tplc="E2067EB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E40F0"/>
    <w:multiLevelType w:val="hybridMultilevel"/>
    <w:tmpl w:val="3A1E039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E610B5E8">
      <w:start w:val="1"/>
      <w:numFmt w:val="lowerRoman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01791"/>
    <w:multiLevelType w:val="hybridMultilevel"/>
    <w:tmpl w:val="A2CE689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E610B5E8">
      <w:start w:val="1"/>
      <w:numFmt w:val="lowerRoman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2C5B16"/>
    <w:multiLevelType w:val="hybridMultilevel"/>
    <w:tmpl w:val="3452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44151"/>
    <w:multiLevelType w:val="hybridMultilevel"/>
    <w:tmpl w:val="120EF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Roman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97712"/>
    <w:multiLevelType w:val="hybridMultilevel"/>
    <w:tmpl w:val="8D06BEDA"/>
    <w:lvl w:ilvl="0" w:tplc="BE1A636A">
      <w:start w:val="1"/>
      <w:numFmt w:val="lowerLetter"/>
      <w:lvlText w:val="%1."/>
      <w:lvlJc w:val="left"/>
      <w:pPr>
        <w:ind w:left="360" w:hanging="360"/>
      </w:pPr>
      <w:rPr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773418"/>
    <w:multiLevelType w:val="hybridMultilevel"/>
    <w:tmpl w:val="6726B486"/>
    <w:lvl w:ilvl="0" w:tplc="0000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AE229C"/>
    <w:multiLevelType w:val="hybridMultilevel"/>
    <w:tmpl w:val="DFFC48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01A0D"/>
    <w:multiLevelType w:val="hybridMultilevel"/>
    <w:tmpl w:val="B31CD17A"/>
    <w:lvl w:ilvl="0" w:tplc="CB38C86C">
      <w:start w:val="1"/>
      <w:numFmt w:val="lowerRoman"/>
      <w:lvlText w:val="%1."/>
      <w:lvlJc w:val="right"/>
      <w:pPr>
        <w:ind w:left="1260" w:hanging="18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932E21"/>
    <w:multiLevelType w:val="hybridMultilevel"/>
    <w:tmpl w:val="AE8A8C4C"/>
    <w:lvl w:ilvl="0" w:tplc="EDC6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21A17"/>
    <w:multiLevelType w:val="hybridMultilevel"/>
    <w:tmpl w:val="120EF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97F9D"/>
    <w:multiLevelType w:val="hybridMultilevel"/>
    <w:tmpl w:val="EADC84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7C7C6A50"/>
    <w:multiLevelType w:val="hybridMultilevel"/>
    <w:tmpl w:val="05669DA2"/>
    <w:lvl w:ilvl="0" w:tplc="0409000F">
      <w:start w:val="1"/>
      <w:numFmt w:val="lowerRoman"/>
      <w:lvlText w:val="%1."/>
      <w:lvlJc w:val="left"/>
      <w:pPr>
        <w:ind w:left="366" w:hanging="360"/>
      </w:pPr>
    </w:lvl>
    <w:lvl w:ilvl="1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6" w:hanging="180"/>
      </w:pPr>
    </w:lvl>
    <w:lvl w:ilvl="3" w:tplc="0409000F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1">
    <w:nsid w:val="7DB0170E"/>
    <w:multiLevelType w:val="hybridMultilevel"/>
    <w:tmpl w:val="DB88AAC0"/>
    <w:lvl w:ilvl="0" w:tplc="2C26FD90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7"/>
  </w:num>
  <w:num w:numId="5">
    <w:abstractNumId w:val="23"/>
  </w:num>
  <w:num w:numId="6">
    <w:abstractNumId w:val="19"/>
  </w:num>
  <w:num w:numId="7">
    <w:abstractNumId w:val="9"/>
  </w:num>
  <w:num w:numId="8">
    <w:abstractNumId w:val="0"/>
  </w:num>
  <w:num w:numId="9">
    <w:abstractNumId w:val="39"/>
  </w:num>
  <w:num w:numId="10">
    <w:abstractNumId w:val="20"/>
  </w:num>
  <w:num w:numId="11">
    <w:abstractNumId w:val="27"/>
  </w:num>
  <w:num w:numId="12">
    <w:abstractNumId w:val="24"/>
  </w:num>
  <w:num w:numId="13">
    <w:abstractNumId w:val="12"/>
  </w:num>
  <w:num w:numId="14">
    <w:abstractNumId w:val="38"/>
  </w:num>
  <w:num w:numId="15">
    <w:abstractNumId w:val="32"/>
  </w:num>
  <w:num w:numId="16">
    <w:abstractNumId w:val="22"/>
  </w:num>
  <w:num w:numId="17">
    <w:abstractNumId w:val="36"/>
  </w:num>
  <w:num w:numId="18">
    <w:abstractNumId w:val="4"/>
  </w:num>
  <w:num w:numId="19">
    <w:abstractNumId w:val="1"/>
  </w:num>
  <w:num w:numId="20">
    <w:abstractNumId w:val="15"/>
  </w:num>
  <w:num w:numId="21">
    <w:abstractNumId w:val="40"/>
  </w:num>
  <w:num w:numId="22">
    <w:abstractNumId w:val="29"/>
  </w:num>
  <w:num w:numId="23">
    <w:abstractNumId w:val="14"/>
  </w:num>
  <w:num w:numId="24">
    <w:abstractNumId w:val="31"/>
  </w:num>
  <w:num w:numId="25">
    <w:abstractNumId w:val="37"/>
  </w:num>
  <w:num w:numId="26">
    <w:abstractNumId w:val="10"/>
  </w:num>
  <w:num w:numId="27">
    <w:abstractNumId w:val="26"/>
  </w:num>
  <w:num w:numId="28">
    <w:abstractNumId w:val="6"/>
  </w:num>
  <w:num w:numId="29">
    <w:abstractNumId w:val="34"/>
  </w:num>
  <w:num w:numId="30">
    <w:abstractNumId w:val="11"/>
  </w:num>
  <w:num w:numId="31">
    <w:abstractNumId w:val="8"/>
  </w:num>
  <w:num w:numId="32">
    <w:abstractNumId w:val="41"/>
  </w:num>
  <w:num w:numId="33">
    <w:abstractNumId w:val="35"/>
  </w:num>
  <w:num w:numId="34">
    <w:abstractNumId w:val="3"/>
  </w:num>
  <w:num w:numId="35">
    <w:abstractNumId w:val="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2"/>
  </w:num>
  <w:num w:numId="40">
    <w:abstractNumId w:val="7"/>
  </w:num>
  <w:num w:numId="41">
    <w:abstractNumId w:val="16"/>
  </w:num>
  <w:num w:numId="42">
    <w:abstractNumId w:val="30"/>
  </w:num>
  <w:num w:numId="43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ák Petr Mgr.">
    <w15:presenceInfo w15:providerId="AD" w15:userId="S-1-5-21-2035645786-17368902-4547331-5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A"/>
    <w:rsid w:val="0000051E"/>
    <w:rsid w:val="000058BA"/>
    <w:rsid w:val="00037AC4"/>
    <w:rsid w:val="000406C7"/>
    <w:rsid w:val="0006257A"/>
    <w:rsid w:val="000B08D1"/>
    <w:rsid w:val="000B0A8E"/>
    <w:rsid w:val="000B24FD"/>
    <w:rsid w:val="000B355A"/>
    <w:rsid w:val="000B55DE"/>
    <w:rsid w:val="000B645F"/>
    <w:rsid w:val="000C6EFB"/>
    <w:rsid w:val="000D1E92"/>
    <w:rsid w:val="000E2297"/>
    <w:rsid w:val="000E7869"/>
    <w:rsid w:val="000F0361"/>
    <w:rsid w:val="000F0C7D"/>
    <w:rsid w:val="000F199C"/>
    <w:rsid w:val="000F1E38"/>
    <w:rsid w:val="000F41F6"/>
    <w:rsid w:val="00134302"/>
    <w:rsid w:val="001346FD"/>
    <w:rsid w:val="0014216B"/>
    <w:rsid w:val="00145D9D"/>
    <w:rsid w:val="00156E0D"/>
    <w:rsid w:val="001634E5"/>
    <w:rsid w:val="00173031"/>
    <w:rsid w:val="001756B5"/>
    <w:rsid w:val="00185BCD"/>
    <w:rsid w:val="001932EF"/>
    <w:rsid w:val="00195A7B"/>
    <w:rsid w:val="001A0FD7"/>
    <w:rsid w:val="002042A5"/>
    <w:rsid w:val="00214E5D"/>
    <w:rsid w:val="00222901"/>
    <w:rsid w:val="002303F9"/>
    <w:rsid w:val="00243714"/>
    <w:rsid w:val="002725A1"/>
    <w:rsid w:val="002730CD"/>
    <w:rsid w:val="00281077"/>
    <w:rsid w:val="002B2567"/>
    <w:rsid w:val="002C47B6"/>
    <w:rsid w:val="002E1CBE"/>
    <w:rsid w:val="002F1898"/>
    <w:rsid w:val="002F1DF1"/>
    <w:rsid w:val="00312369"/>
    <w:rsid w:val="003238FB"/>
    <w:rsid w:val="003435C1"/>
    <w:rsid w:val="003B45E0"/>
    <w:rsid w:val="003C73B2"/>
    <w:rsid w:val="003E5DF5"/>
    <w:rsid w:val="003E6CC1"/>
    <w:rsid w:val="003F46AF"/>
    <w:rsid w:val="004437B3"/>
    <w:rsid w:val="00445A2B"/>
    <w:rsid w:val="00446B68"/>
    <w:rsid w:val="0045120E"/>
    <w:rsid w:val="00451547"/>
    <w:rsid w:val="00470986"/>
    <w:rsid w:val="004B0707"/>
    <w:rsid w:val="004C142C"/>
    <w:rsid w:val="004C6BEF"/>
    <w:rsid w:val="004D452E"/>
    <w:rsid w:val="00521BF3"/>
    <w:rsid w:val="0052453C"/>
    <w:rsid w:val="005419C2"/>
    <w:rsid w:val="00554ACA"/>
    <w:rsid w:val="00564A2A"/>
    <w:rsid w:val="00566406"/>
    <w:rsid w:val="0057223C"/>
    <w:rsid w:val="00583F88"/>
    <w:rsid w:val="0058415E"/>
    <w:rsid w:val="00595B77"/>
    <w:rsid w:val="005F7B28"/>
    <w:rsid w:val="006006BF"/>
    <w:rsid w:val="00600AB5"/>
    <w:rsid w:val="00624A0A"/>
    <w:rsid w:val="00630965"/>
    <w:rsid w:val="00677129"/>
    <w:rsid w:val="00690A6C"/>
    <w:rsid w:val="0069365D"/>
    <w:rsid w:val="006A0D80"/>
    <w:rsid w:val="006C159D"/>
    <w:rsid w:val="006F2966"/>
    <w:rsid w:val="007174BE"/>
    <w:rsid w:val="00725D2B"/>
    <w:rsid w:val="00731425"/>
    <w:rsid w:val="00735992"/>
    <w:rsid w:val="007553EA"/>
    <w:rsid w:val="0076549C"/>
    <w:rsid w:val="00772635"/>
    <w:rsid w:val="007856CB"/>
    <w:rsid w:val="0079067B"/>
    <w:rsid w:val="007A4422"/>
    <w:rsid w:val="007E0A62"/>
    <w:rsid w:val="00830587"/>
    <w:rsid w:val="00831793"/>
    <w:rsid w:val="00834ED4"/>
    <w:rsid w:val="00853B45"/>
    <w:rsid w:val="00867A26"/>
    <w:rsid w:val="00872A00"/>
    <w:rsid w:val="008C3CBD"/>
    <w:rsid w:val="008D5CAE"/>
    <w:rsid w:val="008E3A34"/>
    <w:rsid w:val="009076E6"/>
    <w:rsid w:val="00907E5A"/>
    <w:rsid w:val="00917211"/>
    <w:rsid w:val="0095547E"/>
    <w:rsid w:val="00976462"/>
    <w:rsid w:val="009A1B68"/>
    <w:rsid w:val="009A7699"/>
    <w:rsid w:val="009B6F0F"/>
    <w:rsid w:val="009D295C"/>
    <w:rsid w:val="009D7DFE"/>
    <w:rsid w:val="009F1166"/>
    <w:rsid w:val="00A03BC8"/>
    <w:rsid w:val="00A271A9"/>
    <w:rsid w:val="00A34967"/>
    <w:rsid w:val="00A66775"/>
    <w:rsid w:val="00A7612E"/>
    <w:rsid w:val="00AA359D"/>
    <w:rsid w:val="00AB5CA8"/>
    <w:rsid w:val="00B04E67"/>
    <w:rsid w:val="00B051C2"/>
    <w:rsid w:val="00B12179"/>
    <w:rsid w:val="00B16C86"/>
    <w:rsid w:val="00B20CD6"/>
    <w:rsid w:val="00B25582"/>
    <w:rsid w:val="00B327C8"/>
    <w:rsid w:val="00B57EA6"/>
    <w:rsid w:val="00B60CFA"/>
    <w:rsid w:val="00BB3F1E"/>
    <w:rsid w:val="00BD60A4"/>
    <w:rsid w:val="00C0489B"/>
    <w:rsid w:val="00C21417"/>
    <w:rsid w:val="00C271A9"/>
    <w:rsid w:val="00C40D84"/>
    <w:rsid w:val="00C46A62"/>
    <w:rsid w:val="00C47B54"/>
    <w:rsid w:val="00C74B77"/>
    <w:rsid w:val="00CB2A48"/>
    <w:rsid w:val="00CC466A"/>
    <w:rsid w:val="00CC75D3"/>
    <w:rsid w:val="00CD6050"/>
    <w:rsid w:val="00CE2414"/>
    <w:rsid w:val="00CE3D71"/>
    <w:rsid w:val="00CF057C"/>
    <w:rsid w:val="00CF11F1"/>
    <w:rsid w:val="00D02C84"/>
    <w:rsid w:val="00D066EE"/>
    <w:rsid w:val="00D240B2"/>
    <w:rsid w:val="00D45A96"/>
    <w:rsid w:val="00D46356"/>
    <w:rsid w:val="00D51ACB"/>
    <w:rsid w:val="00D61BEF"/>
    <w:rsid w:val="00D91784"/>
    <w:rsid w:val="00D9220E"/>
    <w:rsid w:val="00D973E8"/>
    <w:rsid w:val="00DD75C8"/>
    <w:rsid w:val="00DE2AF4"/>
    <w:rsid w:val="00DF14BA"/>
    <w:rsid w:val="00E369BD"/>
    <w:rsid w:val="00E369C7"/>
    <w:rsid w:val="00E54738"/>
    <w:rsid w:val="00E82E01"/>
    <w:rsid w:val="00E90F7C"/>
    <w:rsid w:val="00EB5544"/>
    <w:rsid w:val="00EB582D"/>
    <w:rsid w:val="00EC19D9"/>
    <w:rsid w:val="00ED0B36"/>
    <w:rsid w:val="00ED7222"/>
    <w:rsid w:val="00ED7D7C"/>
    <w:rsid w:val="00EE3746"/>
    <w:rsid w:val="00F01A73"/>
    <w:rsid w:val="00F01D9D"/>
    <w:rsid w:val="00F04728"/>
    <w:rsid w:val="00F20910"/>
    <w:rsid w:val="00F251C9"/>
    <w:rsid w:val="00F2557F"/>
    <w:rsid w:val="00F31C8A"/>
    <w:rsid w:val="00F35BFE"/>
    <w:rsid w:val="00F420E4"/>
    <w:rsid w:val="00F4413B"/>
    <w:rsid w:val="00F55F33"/>
    <w:rsid w:val="00F75B4D"/>
    <w:rsid w:val="00FA20AD"/>
    <w:rsid w:val="00FA732D"/>
    <w:rsid w:val="00FC177C"/>
    <w:rsid w:val="00FC42C9"/>
    <w:rsid w:val="00FE5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5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37C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21C8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21C8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0669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0669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03BB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03BB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7CA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4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38"/>
  </w:style>
  <w:style w:type="character" w:styleId="PageNumber">
    <w:name w:val="page number"/>
    <w:basedOn w:val="DefaultParagraphFont"/>
    <w:uiPriority w:val="99"/>
    <w:semiHidden/>
    <w:unhideWhenUsed/>
    <w:rsid w:val="00E54738"/>
  </w:style>
  <w:style w:type="paragraph" w:styleId="ListParagraph">
    <w:name w:val="List Paragraph"/>
    <w:basedOn w:val="Normal"/>
    <w:uiPriority w:val="34"/>
    <w:qFormat/>
    <w:rsid w:val="000406C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43714"/>
  </w:style>
  <w:style w:type="character" w:customStyle="1" w:styleId="FootnoteTextChar">
    <w:name w:val="Footnote Text Char"/>
    <w:basedOn w:val="DefaultParagraphFont"/>
    <w:link w:val="FootnoteText"/>
    <w:rsid w:val="00243714"/>
  </w:style>
  <w:style w:type="character" w:styleId="FootnoteReference">
    <w:name w:val="footnote reference"/>
    <w:basedOn w:val="DefaultParagraphFont"/>
    <w:rsid w:val="00243714"/>
    <w:rPr>
      <w:vertAlign w:val="superscript"/>
    </w:rPr>
  </w:style>
  <w:style w:type="character" w:styleId="Hyperlink">
    <w:name w:val="Hyperlink"/>
    <w:basedOn w:val="DefaultParagraphFont"/>
    <w:rsid w:val="00E90F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72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25A1"/>
  </w:style>
  <w:style w:type="character" w:styleId="CommentReference">
    <w:name w:val="annotation reference"/>
    <w:basedOn w:val="DefaultParagraphFont"/>
    <w:semiHidden/>
    <w:unhideWhenUsed/>
    <w:rsid w:val="002303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3F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57EA6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EA6"/>
    <w:rPr>
      <w:rFonts w:eastAsiaTheme="minorEastAsia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58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5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37C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21C8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21C8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0669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0669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A03BB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03BB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7CAD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4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38"/>
  </w:style>
  <w:style w:type="character" w:styleId="PageNumber">
    <w:name w:val="page number"/>
    <w:basedOn w:val="DefaultParagraphFont"/>
    <w:uiPriority w:val="99"/>
    <w:semiHidden/>
    <w:unhideWhenUsed/>
    <w:rsid w:val="00E54738"/>
  </w:style>
  <w:style w:type="paragraph" w:styleId="ListParagraph">
    <w:name w:val="List Paragraph"/>
    <w:basedOn w:val="Normal"/>
    <w:uiPriority w:val="34"/>
    <w:qFormat/>
    <w:rsid w:val="000406C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43714"/>
  </w:style>
  <w:style w:type="character" w:customStyle="1" w:styleId="FootnoteTextChar">
    <w:name w:val="Footnote Text Char"/>
    <w:basedOn w:val="DefaultParagraphFont"/>
    <w:link w:val="FootnoteText"/>
    <w:rsid w:val="00243714"/>
  </w:style>
  <w:style w:type="character" w:styleId="FootnoteReference">
    <w:name w:val="footnote reference"/>
    <w:basedOn w:val="DefaultParagraphFont"/>
    <w:rsid w:val="00243714"/>
    <w:rPr>
      <w:vertAlign w:val="superscript"/>
    </w:rPr>
  </w:style>
  <w:style w:type="character" w:styleId="Hyperlink">
    <w:name w:val="Hyperlink"/>
    <w:basedOn w:val="DefaultParagraphFont"/>
    <w:rsid w:val="00E90F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72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25A1"/>
  </w:style>
  <w:style w:type="character" w:styleId="CommentReference">
    <w:name w:val="annotation reference"/>
    <w:basedOn w:val="DefaultParagraphFont"/>
    <w:semiHidden/>
    <w:unhideWhenUsed/>
    <w:rsid w:val="002303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3F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57EA6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7EA6"/>
    <w:rPr>
      <w:rFonts w:eastAsiaTheme="minorEastAsia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58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D801F-B42C-447B-AA57-84C99DC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2013</Words>
  <Characters>12159</Characters>
  <Application>Microsoft Office Word</Application>
  <DocSecurity>0</DocSecurity>
  <Lines>357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Developing standards for equality bodies</vt:lpstr>
      <vt:lpstr>Developing standards for equality bodies</vt:lpstr>
    </vt:vector>
  </TitlesOfParts>
  <Company>Microsoft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standards for equality bodies</dc:title>
  <dc:subject>An Equinet Working Paper</dc:subject>
  <dc:creator>Sarah Cooke O’Dowd</dc:creator>
  <cp:lastModifiedBy>Sarah Cooke O’Dowd</cp:lastModifiedBy>
  <cp:revision>4</cp:revision>
  <dcterms:created xsi:type="dcterms:W3CDTF">2016-11-04T15:57:00Z</dcterms:created>
  <dcterms:modified xsi:type="dcterms:W3CDTF">2016-11-04T16:25:00Z</dcterms:modified>
</cp:coreProperties>
</file>